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8B3A2" w14:textId="77777777" w:rsidR="00E07861" w:rsidRDefault="00E07861" w:rsidP="00E07861">
      <w:pPr>
        <w:keepNext/>
        <w:keepLines/>
        <w:spacing w:before="40" w:line="259" w:lineRule="auto"/>
        <w:jc w:val="center"/>
        <w:outlineLvl w:val="1"/>
        <w:rPr>
          <w:rFonts w:ascii="Verdana" w:eastAsia="Times New Roman" w:hAnsi="Verdana" w:cs="Times New Roman"/>
          <w:color w:val="2F5496"/>
          <w:sz w:val="26"/>
          <w:szCs w:val="26"/>
        </w:rPr>
        <w:sectPr w:rsidR="00E07861" w:rsidSect="008A1DA3">
          <w:headerReference w:type="even" r:id="rId8"/>
          <w:headerReference w:type="default" r:id="rId9"/>
          <w:footerReference w:type="default" r:id="rId10"/>
          <w:headerReference w:type="first" r:id="rId11"/>
          <w:type w:val="continuous"/>
          <w:pgSz w:w="12240" w:h="15840"/>
          <w:pgMar w:top="2592" w:right="1440" w:bottom="1440" w:left="2016" w:header="720" w:footer="720" w:gutter="0"/>
          <w:cols w:space="720"/>
          <w:titlePg/>
          <w:docGrid w:linePitch="360"/>
        </w:sectPr>
      </w:pPr>
    </w:p>
    <w:p w14:paraId="1FFF7019" w14:textId="163546BE" w:rsidR="00FF60EE" w:rsidRPr="00FF60EE" w:rsidRDefault="00FF60EE" w:rsidP="00FF60EE">
      <w:pPr>
        <w:keepNext/>
        <w:keepLines/>
        <w:spacing w:before="40" w:line="259" w:lineRule="auto"/>
        <w:jc w:val="center"/>
        <w:outlineLvl w:val="1"/>
        <w:rPr>
          <w:rFonts w:ascii="Verdana" w:eastAsia="Times New Roman" w:hAnsi="Verdana" w:cs="Times New Roman"/>
          <w:color w:val="2F5496"/>
          <w:sz w:val="26"/>
          <w:szCs w:val="26"/>
        </w:rPr>
      </w:pPr>
      <w:r w:rsidRPr="00FF60EE">
        <w:rPr>
          <w:rFonts w:ascii="Verdana" w:eastAsia="Times New Roman" w:hAnsi="Verdana" w:cs="Times New Roman"/>
          <w:color w:val="2F5496"/>
          <w:sz w:val="26"/>
          <w:szCs w:val="26"/>
        </w:rPr>
        <w:t xml:space="preserve">Insurance </w:t>
      </w:r>
      <w:r w:rsidR="001423AE">
        <w:rPr>
          <w:rFonts w:ascii="Verdana" w:eastAsia="Times New Roman" w:hAnsi="Verdana" w:cs="Times New Roman"/>
          <w:color w:val="2F5496"/>
          <w:sz w:val="26"/>
          <w:szCs w:val="26"/>
        </w:rPr>
        <w:t>and</w:t>
      </w:r>
      <w:r w:rsidRPr="00FF60EE">
        <w:rPr>
          <w:rFonts w:ascii="Verdana" w:eastAsia="Times New Roman" w:hAnsi="Verdana" w:cs="Times New Roman"/>
          <w:color w:val="2F5496"/>
          <w:sz w:val="26"/>
          <w:szCs w:val="26"/>
        </w:rPr>
        <w:t xml:space="preserve"> Legal Liability</w:t>
      </w:r>
    </w:p>
    <w:p w14:paraId="257C39B6" w14:textId="77777777" w:rsidR="00FF60EE" w:rsidRPr="00FF60EE" w:rsidRDefault="00FF60EE" w:rsidP="00FF60EE">
      <w:pPr>
        <w:spacing w:after="160" w:line="259" w:lineRule="auto"/>
        <w:rPr>
          <w:rFonts w:ascii="Calibri" w:eastAsia="Calibri" w:hAnsi="Calibri" w:cs="Times New Roman"/>
          <w:sz w:val="22"/>
          <w:szCs w:val="22"/>
        </w:rPr>
      </w:pPr>
    </w:p>
    <w:p w14:paraId="29BED1A9" w14:textId="38627AA4" w:rsidR="00FF60EE" w:rsidRPr="00FF60EE" w:rsidRDefault="00FF60EE" w:rsidP="00FF60EE">
      <w:pPr>
        <w:spacing w:after="160" w:line="259" w:lineRule="auto"/>
        <w:rPr>
          <w:rFonts w:ascii="Verdana" w:eastAsia="Calibri" w:hAnsi="Verdana" w:cs="Times New Roman"/>
          <w:bCs/>
          <w:sz w:val="21"/>
          <w:szCs w:val="21"/>
        </w:rPr>
      </w:pPr>
      <w:r w:rsidRPr="00FF60EE">
        <w:rPr>
          <w:rFonts w:ascii="Verdana" w:eastAsia="Calibri" w:hAnsi="Verdana" w:cs="Times New Roman"/>
          <w:bCs/>
          <w:sz w:val="21"/>
          <w:szCs w:val="21"/>
        </w:rPr>
        <w:t xml:space="preserve">Assessing the overall risk to the network and the network lead entity is important to explore early on in your network’s development. This worksheet will explore questions related to insurance policies your network currently has in place, requirements of contracts and passing those requirements on to network members. Helpful resources for you to review before you start on this worksheet include the Aging and Disability Business Institute’s </w:t>
      </w:r>
      <w:hyperlink r:id="rId12" w:history="1">
        <w:r w:rsidRPr="00FF60EE">
          <w:rPr>
            <w:rFonts w:ascii="Verdana" w:eastAsia="Calibri" w:hAnsi="Verdana" w:cs="Times New Roman"/>
            <w:bCs/>
            <w:color w:val="0563C1"/>
            <w:sz w:val="21"/>
            <w:szCs w:val="21"/>
            <w:u w:val="single"/>
          </w:rPr>
          <w:t>Contracting Toolkit</w:t>
        </w:r>
      </w:hyperlink>
      <w:r w:rsidRPr="00FF60EE">
        <w:rPr>
          <w:rFonts w:ascii="Verdana" w:eastAsia="Calibri" w:hAnsi="Verdana" w:cs="Times New Roman"/>
          <w:bCs/>
          <w:sz w:val="21"/>
          <w:szCs w:val="21"/>
        </w:rPr>
        <w:t xml:space="preserve">, which helps prepare CBOs for contracting work by exploring the critical elements of CBO—health care contracts including </w:t>
      </w:r>
      <w:hyperlink r:id="rId13" w:history="1">
        <w:r w:rsidRPr="00FF60EE">
          <w:rPr>
            <w:rFonts w:ascii="Verdana" w:eastAsia="Calibri" w:hAnsi="Verdana" w:cs="Times New Roman"/>
            <w:bCs/>
            <w:color w:val="0563C1"/>
            <w:sz w:val="21"/>
            <w:szCs w:val="21"/>
            <w:u w:val="single"/>
          </w:rPr>
          <w:t>Contracting Dos and Don’ts</w:t>
        </w:r>
      </w:hyperlink>
      <w:r w:rsidRPr="00FF60EE">
        <w:rPr>
          <w:rFonts w:ascii="Verdana" w:eastAsia="Calibri" w:hAnsi="Verdana" w:cs="Times New Roman"/>
          <w:bCs/>
          <w:sz w:val="21"/>
          <w:szCs w:val="21"/>
        </w:rPr>
        <w:t xml:space="preserve">, a </w:t>
      </w:r>
      <w:hyperlink r:id="rId14" w:history="1">
        <w:r w:rsidRPr="00FF60EE">
          <w:rPr>
            <w:rFonts w:ascii="Verdana" w:eastAsia="Calibri" w:hAnsi="Verdana" w:cs="Times New Roman"/>
            <w:bCs/>
            <w:color w:val="0563C1"/>
            <w:sz w:val="21"/>
            <w:szCs w:val="21"/>
            <w:u w:val="single"/>
          </w:rPr>
          <w:t>Lexicon of Contracting Terms</w:t>
        </w:r>
      </w:hyperlink>
      <w:r w:rsidRPr="00FF60EE">
        <w:rPr>
          <w:rFonts w:ascii="Verdana" w:eastAsia="Calibri" w:hAnsi="Verdana" w:cs="Times New Roman"/>
          <w:bCs/>
          <w:sz w:val="21"/>
          <w:szCs w:val="21"/>
        </w:rPr>
        <w:t>, and much more.</w:t>
      </w:r>
    </w:p>
    <w:p w14:paraId="187E125E" w14:textId="77777777" w:rsidR="00FF60EE" w:rsidRPr="00FF60EE" w:rsidRDefault="00FF60EE" w:rsidP="00FF60EE">
      <w:pPr>
        <w:spacing w:after="160" w:line="259" w:lineRule="auto"/>
        <w:rPr>
          <w:rFonts w:ascii="Verdana" w:eastAsia="Calibri" w:hAnsi="Verdana" w:cs="Times New Roman"/>
          <w:bCs/>
          <w:sz w:val="21"/>
          <w:szCs w:val="21"/>
        </w:rPr>
      </w:pPr>
    </w:p>
    <w:p w14:paraId="37936F0C" w14:textId="77777777" w:rsidR="00FF60EE" w:rsidRPr="00FF60EE" w:rsidRDefault="00FF60EE" w:rsidP="00FF60EE">
      <w:pPr>
        <w:spacing w:after="160" w:line="259" w:lineRule="auto"/>
        <w:rPr>
          <w:rFonts w:ascii="Verdana" w:eastAsia="Calibri" w:hAnsi="Verdana" w:cs="Times New Roman"/>
          <w:sz w:val="21"/>
          <w:szCs w:val="21"/>
        </w:rPr>
      </w:pPr>
      <w:r w:rsidRPr="00FF60EE">
        <w:rPr>
          <w:rFonts w:ascii="Verdana" w:eastAsia="Calibri" w:hAnsi="Verdana" w:cs="Times New Roman"/>
          <w:b/>
          <w:sz w:val="21"/>
          <w:szCs w:val="21"/>
        </w:rPr>
        <w:t xml:space="preserve">Questions to Consider: </w:t>
      </w:r>
    </w:p>
    <w:p w14:paraId="2E180377" w14:textId="77777777" w:rsidR="00FF60EE" w:rsidRPr="00FF60EE" w:rsidRDefault="00FF60EE" w:rsidP="00FF60EE">
      <w:pPr>
        <w:numPr>
          <w:ilvl w:val="0"/>
          <w:numId w:val="8"/>
        </w:numPr>
        <w:spacing w:after="160" w:line="256" w:lineRule="auto"/>
        <w:contextualSpacing/>
        <w:rPr>
          <w:rFonts w:ascii="Verdana" w:eastAsia="Calibri" w:hAnsi="Verdana" w:cs="Times New Roman"/>
          <w:sz w:val="21"/>
          <w:szCs w:val="21"/>
        </w:rPr>
      </w:pPr>
      <w:r w:rsidRPr="00FF60EE">
        <w:rPr>
          <w:rFonts w:ascii="Verdana" w:eastAsia="Calibri" w:hAnsi="Verdana" w:cs="Times New Roman"/>
          <w:bCs/>
          <w:sz w:val="21"/>
          <w:szCs w:val="21"/>
        </w:rPr>
        <w:t xml:space="preserve">What insurance policies does your network currently have and what are the policy limits? </w:t>
      </w:r>
      <w:r w:rsidRPr="00FF60EE">
        <w:rPr>
          <w:rFonts w:ascii="Verdana" w:eastAsia="Calibri" w:hAnsi="Verdana" w:cs="Times New Roman"/>
          <w:sz w:val="21"/>
          <w:szCs w:val="21"/>
        </w:rPr>
        <w:t xml:space="preserve">If your network currently has contracts with health care entities, what are the insurance requirements? Be as specific as possible. </w:t>
      </w:r>
    </w:p>
    <w:tbl>
      <w:tblPr>
        <w:tblStyle w:val="GridTable31"/>
        <w:tblpPr w:leftFromText="180" w:rightFromText="180" w:vertAnchor="text" w:horzAnchor="margin" w:tblpXSpec="center" w:tblpY="181"/>
        <w:tblW w:w="0" w:type="auto"/>
        <w:tblLook w:val="04A0" w:firstRow="1" w:lastRow="0" w:firstColumn="1" w:lastColumn="0" w:noHBand="0" w:noVBand="1"/>
      </w:tblPr>
      <w:tblGrid>
        <w:gridCol w:w="3339"/>
        <w:gridCol w:w="1678"/>
        <w:gridCol w:w="1668"/>
        <w:gridCol w:w="2099"/>
      </w:tblGrid>
      <w:tr w:rsidR="00FF60EE" w:rsidRPr="005421C9" w14:paraId="36F2EB67" w14:textId="77777777" w:rsidTr="00FF60EE">
        <w:trPr>
          <w:cnfStyle w:val="100000000000" w:firstRow="1" w:lastRow="0" w:firstColumn="0" w:lastColumn="0" w:oddVBand="0" w:evenVBand="0" w:oddHBand="0" w:evenHBand="0" w:firstRowFirstColumn="0" w:firstRowLastColumn="0" w:lastRowFirstColumn="0" w:lastRowLastColumn="0"/>
          <w:trHeight w:val="263"/>
        </w:trPr>
        <w:tc>
          <w:tcPr>
            <w:cnfStyle w:val="001000000100" w:firstRow="0" w:lastRow="0" w:firstColumn="1" w:lastColumn="0" w:oddVBand="0" w:evenVBand="0" w:oddHBand="0" w:evenHBand="0" w:firstRowFirstColumn="1" w:firstRowLastColumn="0" w:lastRowFirstColumn="0" w:lastRowLastColumn="0"/>
            <w:tcW w:w="3524" w:type="dxa"/>
          </w:tcPr>
          <w:p w14:paraId="6A49B97B" w14:textId="77777777" w:rsidR="00FF60EE" w:rsidRPr="00FF60EE" w:rsidRDefault="00FF60EE" w:rsidP="00FF60EE">
            <w:pPr>
              <w:rPr>
                <w:rFonts w:ascii="Verdana" w:eastAsia="Calibri" w:hAnsi="Verdana" w:cs="Times New Roman"/>
                <w:sz w:val="21"/>
                <w:szCs w:val="21"/>
              </w:rPr>
            </w:pPr>
            <w:r w:rsidRPr="00FF60EE">
              <w:rPr>
                <w:rFonts w:ascii="Verdana" w:eastAsia="Calibri" w:hAnsi="Verdana" w:cs="Times New Roman"/>
                <w:sz w:val="21"/>
                <w:szCs w:val="21"/>
              </w:rPr>
              <w:t>Type of Coverage</w:t>
            </w:r>
          </w:p>
        </w:tc>
        <w:tc>
          <w:tcPr>
            <w:tcW w:w="1797" w:type="dxa"/>
          </w:tcPr>
          <w:p w14:paraId="295D87F0" w14:textId="77777777" w:rsidR="00FF60EE" w:rsidRPr="00FF60EE" w:rsidRDefault="00FF60EE" w:rsidP="00FF60EE">
            <w:pPr>
              <w:cnfStyle w:val="100000000000" w:firstRow="1" w:lastRow="0" w:firstColumn="0" w:lastColumn="0" w:oddVBand="0" w:evenVBand="0" w:oddHBand="0" w:evenHBand="0" w:firstRowFirstColumn="0" w:firstRowLastColumn="0" w:lastRowFirstColumn="0" w:lastRowLastColumn="0"/>
              <w:rPr>
                <w:rFonts w:ascii="Verdana" w:eastAsia="Calibri" w:hAnsi="Verdana" w:cs="Times New Roman"/>
                <w:sz w:val="21"/>
                <w:szCs w:val="21"/>
              </w:rPr>
            </w:pPr>
            <w:r w:rsidRPr="00FF60EE">
              <w:rPr>
                <w:rFonts w:ascii="Verdana" w:eastAsia="Calibri" w:hAnsi="Verdana" w:cs="Times New Roman"/>
                <w:sz w:val="21"/>
                <w:szCs w:val="21"/>
              </w:rPr>
              <w:t>Yes</w:t>
            </w:r>
          </w:p>
        </w:tc>
        <w:tc>
          <w:tcPr>
            <w:tcW w:w="1797" w:type="dxa"/>
          </w:tcPr>
          <w:p w14:paraId="0434DD61" w14:textId="77777777" w:rsidR="00FF60EE" w:rsidRPr="00FF60EE" w:rsidRDefault="00FF60EE" w:rsidP="00FF60EE">
            <w:pPr>
              <w:cnfStyle w:val="100000000000" w:firstRow="1" w:lastRow="0" w:firstColumn="0" w:lastColumn="0" w:oddVBand="0" w:evenVBand="0" w:oddHBand="0" w:evenHBand="0" w:firstRowFirstColumn="0" w:firstRowLastColumn="0" w:lastRowFirstColumn="0" w:lastRowLastColumn="0"/>
              <w:rPr>
                <w:rFonts w:ascii="Verdana" w:eastAsia="Calibri" w:hAnsi="Verdana" w:cs="Times New Roman"/>
                <w:sz w:val="21"/>
                <w:szCs w:val="21"/>
              </w:rPr>
            </w:pPr>
            <w:r w:rsidRPr="00FF60EE">
              <w:rPr>
                <w:rFonts w:ascii="Verdana" w:eastAsia="Calibri" w:hAnsi="Verdana" w:cs="Times New Roman"/>
                <w:sz w:val="21"/>
                <w:szCs w:val="21"/>
              </w:rPr>
              <w:t>No</w:t>
            </w:r>
          </w:p>
        </w:tc>
        <w:tc>
          <w:tcPr>
            <w:tcW w:w="2232" w:type="dxa"/>
          </w:tcPr>
          <w:p w14:paraId="7B1D87E2" w14:textId="77777777" w:rsidR="00FF60EE" w:rsidRPr="00FF60EE" w:rsidRDefault="00FF60EE" w:rsidP="00FF60EE">
            <w:pPr>
              <w:cnfStyle w:val="100000000000" w:firstRow="1" w:lastRow="0" w:firstColumn="0" w:lastColumn="0" w:oddVBand="0" w:evenVBand="0" w:oddHBand="0" w:evenHBand="0" w:firstRowFirstColumn="0" w:firstRowLastColumn="0" w:lastRowFirstColumn="0" w:lastRowLastColumn="0"/>
              <w:rPr>
                <w:rFonts w:ascii="Verdana" w:eastAsia="Calibri" w:hAnsi="Verdana" w:cs="Times New Roman"/>
                <w:sz w:val="21"/>
                <w:szCs w:val="21"/>
              </w:rPr>
            </w:pPr>
            <w:r w:rsidRPr="00FF60EE">
              <w:rPr>
                <w:rFonts w:ascii="Verdana" w:eastAsia="Calibri" w:hAnsi="Verdana" w:cs="Times New Roman"/>
                <w:sz w:val="21"/>
                <w:szCs w:val="21"/>
              </w:rPr>
              <w:t>Limits</w:t>
            </w:r>
          </w:p>
        </w:tc>
      </w:tr>
      <w:tr w:rsidR="00FF60EE" w:rsidRPr="005421C9" w14:paraId="726A42E8" w14:textId="77777777" w:rsidTr="00FF60EE">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524" w:type="dxa"/>
          </w:tcPr>
          <w:p w14:paraId="203DA377" w14:textId="77777777" w:rsidR="00FF60EE" w:rsidRPr="00FF60EE" w:rsidRDefault="00FF60EE" w:rsidP="00FF60EE">
            <w:pPr>
              <w:rPr>
                <w:rFonts w:ascii="Verdana" w:eastAsia="Calibri" w:hAnsi="Verdana" w:cs="Times New Roman"/>
                <w:bCs/>
                <w:sz w:val="21"/>
                <w:szCs w:val="21"/>
              </w:rPr>
            </w:pPr>
            <w:r w:rsidRPr="00FF60EE">
              <w:rPr>
                <w:rFonts w:ascii="Verdana" w:eastAsia="Calibri" w:hAnsi="Verdana" w:cs="Times New Roman"/>
                <w:bCs/>
                <w:sz w:val="21"/>
                <w:szCs w:val="21"/>
              </w:rPr>
              <w:t>Professional liability</w:t>
            </w:r>
          </w:p>
        </w:tc>
        <w:tc>
          <w:tcPr>
            <w:tcW w:w="1797" w:type="dxa"/>
          </w:tcPr>
          <w:p w14:paraId="77B4C5EC" w14:textId="77777777" w:rsidR="00FF60EE" w:rsidRPr="00FF60EE" w:rsidRDefault="00FF60EE" w:rsidP="00FF60E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bCs/>
                <w:sz w:val="21"/>
                <w:szCs w:val="21"/>
              </w:rPr>
            </w:pPr>
          </w:p>
        </w:tc>
        <w:tc>
          <w:tcPr>
            <w:tcW w:w="1797" w:type="dxa"/>
          </w:tcPr>
          <w:p w14:paraId="6D19E9B0" w14:textId="77777777" w:rsidR="00FF60EE" w:rsidRPr="00FF60EE" w:rsidRDefault="00FF60EE" w:rsidP="00FF60E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bCs/>
                <w:sz w:val="21"/>
                <w:szCs w:val="21"/>
              </w:rPr>
            </w:pPr>
          </w:p>
        </w:tc>
        <w:tc>
          <w:tcPr>
            <w:tcW w:w="2232" w:type="dxa"/>
          </w:tcPr>
          <w:p w14:paraId="162707FD" w14:textId="77777777" w:rsidR="00FF60EE" w:rsidRPr="00FF60EE" w:rsidRDefault="00FF60EE" w:rsidP="00FF60E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bCs/>
                <w:sz w:val="21"/>
                <w:szCs w:val="21"/>
              </w:rPr>
            </w:pPr>
          </w:p>
        </w:tc>
      </w:tr>
      <w:tr w:rsidR="005421C9" w:rsidRPr="00FF60EE" w14:paraId="6144FB93" w14:textId="77777777" w:rsidTr="00FF60EE">
        <w:trPr>
          <w:trHeight w:val="247"/>
        </w:trPr>
        <w:tc>
          <w:tcPr>
            <w:cnfStyle w:val="001000000000" w:firstRow="0" w:lastRow="0" w:firstColumn="1" w:lastColumn="0" w:oddVBand="0" w:evenVBand="0" w:oddHBand="0" w:evenHBand="0" w:firstRowFirstColumn="0" w:firstRowLastColumn="0" w:lastRowFirstColumn="0" w:lastRowLastColumn="0"/>
            <w:tcW w:w="3524" w:type="dxa"/>
          </w:tcPr>
          <w:p w14:paraId="7195C1DA" w14:textId="77777777" w:rsidR="00FF60EE" w:rsidRPr="00FF60EE" w:rsidRDefault="00FF60EE" w:rsidP="00FF60EE">
            <w:pPr>
              <w:rPr>
                <w:rFonts w:ascii="Verdana" w:eastAsia="Calibri" w:hAnsi="Verdana" w:cs="Times New Roman"/>
                <w:bCs/>
                <w:sz w:val="21"/>
                <w:szCs w:val="21"/>
              </w:rPr>
            </w:pPr>
            <w:r w:rsidRPr="00FF60EE">
              <w:rPr>
                <w:rFonts w:ascii="Verdana" w:eastAsia="Calibri" w:hAnsi="Verdana" w:cs="Times New Roman"/>
                <w:bCs/>
                <w:sz w:val="21"/>
                <w:szCs w:val="21"/>
              </w:rPr>
              <w:t>General liability</w:t>
            </w:r>
          </w:p>
        </w:tc>
        <w:tc>
          <w:tcPr>
            <w:tcW w:w="1797" w:type="dxa"/>
          </w:tcPr>
          <w:p w14:paraId="193AC6E7" w14:textId="77777777" w:rsidR="00FF60EE" w:rsidRPr="00FF60EE" w:rsidRDefault="00FF60EE" w:rsidP="00FF60E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bCs/>
                <w:sz w:val="21"/>
                <w:szCs w:val="21"/>
              </w:rPr>
            </w:pPr>
          </w:p>
        </w:tc>
        <w:tc>
          <w:tcPr>
            <w:tcW w:w="1797" w:type="dxa"/>
          </w:tcPr>
          <w:p w14:paraId="7EED4562" w14:textId="77777777" w:rsidR="00FF60EE" w:rsidRPr="00FF60EE" w:rsidRDefault="00FF60EE" w:rsidP="00FF60E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bCs/>
                <w:sz w:val="21"/>
                <w:szCs w:val="21"/>
              </w:rPr>
            </w:pPr>
          </w:p>
        </w:tc>
        <w:tc>
          <w:tcPr>
            <w:tcW w:w="2232" w:type="dxa"/>
          </w:tcPr>
          <w:p w14:paraId="6F8BCD04" w14:textId="77777777" w:rsidR="00FF60EE" w:rsidRPr="00FF60EE" w:rsidRDefault="00FF60EE" w:rsidP="00FF60E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bCs/>
                <w:sz w:val="21"/>
                <w:szCs w:val="21"/>
              </w:rPr>
            </w:pPr>
          </w:p>
        </w:tc>
      </w:tr>
      <w:tr w:rsidR="00FF60EE" w:rsidRPr="005421C9" w14:paraId="65C9F2B8" w14:textId="77777777" w:rsidTr="00FF60EE">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524" w:type="dxa"/>
          </w:tcPr>
          <w:p w14:paraId="2E74309D" w14:textId="77777777" w:rsidR="00FF60EE" w:rsidRPr="00FF60EE" w:rsidRDefault="00FF60EE" w:rsidP="00FF60EE">
            <w:pPr>
              <w:rPr>
                <w:rFonts w:ascii="Verdana" w:eastAsia="Calibri" w:hAnsi="Verdana" w:cs="Times New Roman"/>
                <w:bCs/>
                <w:sz w:val="21"/>
                <w:szCs w:val="21"/>
              </w:rPr>
            </w:pPr>
            <w:r w:rsidRPr="00FF60EE">
              <w:rPr>
                <w:rFonts w:ascii="Verdana" w:eastAsia="Calibri" w:hAnsi="Verdana" w:cs="Times New Roman"/>
                <w:bCs/>
                <w:sz w:val="21"/>
                <w:szCs w:val="21"/>
              </w:rPr>
              <w:t>Directors and officers</w:t>
            </w:r>
          </w:p>
        </w:tc>
        <w:tc>
          <w:tcPr>
            <w:tcW w:w="1797" w:type="dxa"/>
          </w:tcPr>
          <w:p w14:paraId="3A79B454" w14:textId="77777777" w:rsidR="00FF60EE" w:rsidRPr="00FF60EE" w:rsidRDefault="00FF60EE" w:rsidP="00FF60E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bCs/>
                <w:sz w:val="21"/>
                <w:szCs w:val="21"/>
              </w:rPr>
            </w:pPr>
          </w:p>
        </w:tc>
        <w:tc>
          <w:tcPr>
            <w:tcW w:w="1797" w:type="dxa"/>
          </w:tcPr>
          <w:p w14:paraId="6A07C451" w14:textId="77777777" w:rsidR="00FF60EE" w:rsidRPr="00FF60EE" w:rsidRDefault="00FF60EE" w:rsidP="00FF60E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bCs/>
                <w:sz w:val="21"/>
                <w:szCs w:val="21"/>
              </w:rPr>
            </w:pPr>
          </w:p>
        </w:tc>
        <w:tc>
          <w:tcPr>
            <w:tcW w:w="2232" w:type="dxa"/>
          </w:tcPr>
          <w:p w14:paraId="47035468" w14:textId="77777777" w:rsidR="00FF60EE" w:rsidRPr="00FF60EE" w:rsidRDefault="00FF60EE" w:rsidP="00FF60E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bCs/>
                <w:sz w:val="21"/>
                <w:szCs w:val="21"/>
              </w:rPr>
            </w:pPr>
          </w:p>
        </w:tc>
      </w:tr>
      <w:tr w:rsidR="005421C9" w:rsidRPr="00FF60EE" w14:paraId="78822053" w14:textId="77777777" w:rsidTr="00FF60EE">
        <w:trPr>
          <w:trHeight w:val="263"/>
        </w:trPr>
        <w:tc>
          <w:tcPr>
            <w:cnfStyle w:val="001000000000" w:firstRow="0" w:lastRow="0" w:firstColumn="1" w:lastColumn="0" w:oddVBand="0" w:evenVBand="0" w:oddHBand="0" w:evenHBand="0" w:firstRowFirstColumn="0" w:firstRowLastColumn="0" w:lastRowFirstColumn="0" w:lastRowLastColumn="0"/>
            <w:tcW w:w="3524" w:type="dxa"/>
          </w:tcPr>
          <w:p w14:paraId="0F716DFD" w14:textId="77777777" w:rsidR="00FF60EE" w:rsidRPr="00FF60EE" w:rsidRDefault="00FF60EE" w:rsidP="00FF60EE">
            <w:pPr>
              <w:rPr>
                <w:rFonts w:ascii="Verdana" w:eastAsia="Calibri" w:hAnsi="Verdana" w:cs="Times New Roman"/>
                <w:bCs/>
                <w:sz w:val="21"/>
                <w:szCs w:val="21"/>
              </w:rPr>
            </w:pPr>
            <w:r w:rsidRPr="00FF60EE">
              <w:rPr>
                <w:rFonts w:ascii="Verdana" w:eastAsia="Calibri" w:hAnsi="Verdana" w:cs="Times New Roman"/>
                <w:bCs/>
                <w:sz w:val="21"/>
                <w:szCs w:val="21"/>
              </w:rPr>
              <w:t>Cyber</w:t>
            </w:r>
          </w:p>
        </w:tc>
        <w:tc>
          <w:tcPr>
            <w:tcW w:w="1797" w:type="dxa"/>
          </w:tcPr>
          <w:p w14:paraId="0D954107" w14:textId="77777777" w:rsidR="00FF60EE" w:rsidRPr="00FF60EE" w:rsidRDefault="00FF60EE" w:rsidP="00FF60E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bCs/>
                <w:sz w:val="21"/>
                <w:szCs w:val="21"/>
              </w:rPr>
            </w:pPr>
          </w:p>
        </w:tc>
        <w:tc>
          <w:tcPr>
            <w:tcW w:w="1797" w:type="dxa"/>
          </w:tcPr>
          <w:p w14:paraId="31EC7346" w14:textId="77777777" w:rsidR="00FF60EE" w:rsidRPr="00FF60EE" w:rsidRDefault="00FF60EE" w:rsidP="00FF60E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bCs/>
                <w:sz w:val="21"/>
                <w:szCs w:val="21"/>
              </w:rPr>
            </w:pPr>
          </w:p>
        </w:tc>
        <w:tc>
          <w:tcPr>
            <w:tcW w:w="2232" w:type="dxa"/>
          </w:tcPr>
          <w:p w14:paraId="570F1414" w14:textId="77777777" w:rsidR="00FF60EE" w:rsidRPr="00FF60EE" w:rsidRDefault="00FF60EE" w:rsidP="00FF60E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bCs/>
                <w:sz w:val="21"/>
                <w:szCs w:val="21"/>
              </w:rPr>
            </w:pPr>
          </w:p>
        </w:tc>
      </w:tr>
      <w:tr w:rsidR="00FF60EE" w:rsidRPr="005421C9" w14:paraId="4B04482E" w14:textId="77777777" w:rsidTr="00FF60EE">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524" w:type="dxa"/>
          </w:tcPr>
          <w:p w14:paraId="331F00EC" w14:textId="77777777" w:rsidR="00FF60EE" w:rsidRPr="00FF60EE" w:rsidRDefault="00FF60EE" w:rsidP="00FF60EE">
            <w:pPr>
              <w:rPr>
                <w:rFonts w:ascii="Verdana" w:eastAsia="Calibri" w:hAnsi="Verdana" w:cs="Times New Roman"/>
                <w:bCs/>
                <w:sz w:val="21"/>
                <w:szCs w:val="21"/>
              </w:rPr>
            </w:pPr>
            <w:r w:rsidRPr="00FF60EE">
              <w:rPr>
                <w:rFonts w:ascii="Verdana" w:eastAsia="Calibri" w:hAnsi="Verdana" w:cs="Times New Roman"/>
                <w:bCs/>
                <w:sz w:val="21"/>
                <w:szCs w:val="21"/>
              </w:rPr>
              <w:t>Crime</w:t>
            </w:r>
          </w:p>
        </w:tc>
        <w:tc>
          <w:tcPr>
            <w:tcW w:w="1797" w:type="dxa"/>
          </w:tcPr>
          <w:p w14:paraId="47731F72" w14:textId="77777777" w:rsidR="00FF60EE" w:rsidRPr="00FF60EE" w:rsidRDefault="00FF60EE" w:rsidP="00FF60E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bCs/>
                <w:sz w:val="21"/>
                <w:szCs w:val="21"/>
              </w:rPr>
            </w:pPr>
          </w:p>
        </w:tc>
        <w:tc>
          <w:tcPr>
            <w:tcW w:w="1797" w:type="dxa"/>
          </w:tcPr>
          <w:p w14:paraId="268A3DB8" w14:textId="77777777" w:rsidR="00FF60EE" w:rsidRPr="00FF60EE" w:rsidRDefault="00FF60EE" w:rsidP="00FF60E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bCs/>
                <w:sz w:val="21"/>
                <w:szCs w:val="21"/>
              </w:rPr>
            </w:pPr>
          </w:p>
        </w:tc>
        <w:tc>
          <w:tcPr>
            <w:tcW w:w="2232" w:type="dxa"/>
          </w:tcPr>
          <w:p w14:paraId="206E8580" w14:textId="77777777" w:rsidR="00FF60EE" w:rsidRPr="00FF60EE" w:rsidRDefault="00FF60EE" w:rsidP="00FF60E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bCs/>
                <w:sz w:val="21"/>
                <w:szCs w:val="21"/>
              </w:rPr>
            </w:pPr>
          </w:p>
        </w:tc>
      </w:tr>
      <w:tr w:rsidR="005421C9" w:rsidRPr="00FF60EE" w14:paraId="0EA6B520" w14:textId="77777777" w:rsidTr="00FF60EE">
        <w:trPr>
          <w:trHeight w:val="263"/>
        </w:trPr>
        <w:tc>
          <w:tcPr>
            <w:cnfStyle w:val="001000000000" w:firstRow="0" w:lastRow="0" w:firstColumn="1" w:lastColumn="0" w:oddVBand="0" w:evenVBand="0" w:oddHBand="0" w:evenHBand="0" w:firstRowFirstColumn="0" w:firstRowLastColumn="0" w:lastRowFirstColumn="0" w:lastRowLastColumn="0"/>
            <w:tcW w:w="3524" w:type="dxa"/>
          </w:tcPr>
          <w:p w14:paraId="7E51EDE4" w14:textId="77777777" w:rsidR="00FF60EE" w:rsidRPr="00FF60EE" w:rsidRDefault="00FF60EE" w:rsidP="00FF60EE">
            <w:pPr>
              <w:rPr>
                <w:rFonts w:ascii="Verdana" w:eastAsia="Calibri" w:hAnsi="Verdana" w:cs="Times New Roman"/>
                <w:bCs/>
                <w:sz w:val="21"/>
                <w:szCs w:val="21"/>
              </w:rPr>
            </w:pPr>
            <w:r w:rsidRPr="00FF60EE">
              <w:rPr>
                <w:rFonts w:ascii="Verdana" w:eastAsia="Calibri" w:hAnsi="Verdana" w:cs="Times New Roman"/>
                <w:bCs/>
                <w:sz w:val="21"/>
                <w:szCs w:val="21"/>
              </w:rPr>
              <w:t>Terrorism</w:t>
            </w:r>
          </w:p>
        </w:tc>
        <w:tc>
          <w:tcPr>
            <w:tcW w:w="1797" w:type="dxa"/>
          </w:tcPr>
          <w:p w14:paraId="28203439" w14:textId="77777777" w:rsidR="00FF60EE" w:rsidRPr="00FF60EE" w:rsidRDefault="00FF60EE" w:rsidP="00FF60E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bCs/>
                <w:sz w:val="21"/>
                <w:szCs w:val="21"/>
              </w:rPr>
            </w:pPr>
          </w:p>
        </w:tc>
        <w:tc>
          <w:tcPr>
            <w:tcW w:w="1797" w:type="dxa"/>
          </w:tcPr>
          <w:p w14:paraId="768033DD" w14:textId="77777777" w:rsidR="00FF60EE" w:rsidRPr="00FF60EE" w:rsidRDefault="00FF60EE" w:rsidP="00FF60E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bCs/>
                <w:sz w:val="21"/>
                <w:szCs w:val="21"/>
              </w:rPr>
            </w:pPr>
          </w:p>
        </w:tc>
        <w:tc>
          <w:tcPr>
            <w:tcW w:w="2232" w:type="dxa"/>
          </w:tcPr>
          <w:p w14:paraId="2F52983A" w14:textId="77777777" w:rsidR="00FF60EE" w:rsidRPr="00FF60EE" w:rsidRDefault="00FF60EE" w:rsidP="00FF60E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bCs/>
                <w:sz w:val="21"/>
                <w:szCs w:val="21"/>
              </w:rPr>
            </w:pPr>
          </w:p>
        </w:tc>
      </w:tr>
      <w:tr w:rsidR="00FF60EE" w:rsidRPr="005421C9" w14:paraId="7EBF6BEC" w14:textId="77777777" w:rsidTr="00FF60EE">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524" w:type="dxa"/>
          </w:tcPr>
          <w:p w14:paraId="2C7F4E1D" w14:textId="77777777" w:rsidR="00FF60EE" w:rsidRPr="00FF60EE" w:rsidRDefault="00FF60EE" w:rsidP="00FF60EE">
            <w:pPr>
              <w:rPr>
                <w:rFonts w:ascii="Verdana" w:eastAsia="Calibri" w:hAnsi="Verdana" w:cs="Times New Roman"/>
                <w:bCs/>
                <w:sz w:val="21"/>
                <w:szCs w:val="21"/>
              </w:rPr>
            </w:pPr>
            <w:r w:rsidRPr="00FF60EE">
              <w:rPr>
                <w:rFonts w:ascii="Verdana" w:eastAsia="Calibri" w:hAnsi="Verdana" w:cs="Times New Roman"/>
                <w:bCs/>
                <w:sz w:val="21"/>
                <w:szCs w:val="21"/>
              </w:rPr>
              <w:t>Worker’s Compensation</w:t>
            </w:r>
          </w:p>
        </w:tc>
        <w:tc>
          <w:tcPr>
            <w:tcW w:w="1797" w:type="dxa"/>
          </w:tcPr>
          <w:p w14:paraId="2AE47EEF" w14:textId="77777777" w:rsidR="00FF60EE" w:rsidRPr="00FF60EE" w:rsidRDefault="00FF60EE" w:rsidP="00FF60E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bCs/>
                <w:sz w:val="21"/>
                <w:szCs w:val="21"/>
              </w:rPr>
            </w:pPr>
          </w:p>
        </w:tc>
        <w:tc>
          <w:tcPr>
            <w:tcW w:w="1797" w:type="dxa"/>
          </w:tcPr>
          <w:p w14:paraId="1AE66CD8" w14:textId="77777777" w:rsidR="00FF60EE" w:rsidRPr="00FF60EE" w:rsidRDefault="00FF60EE" w:rsidP="00FF60E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bCs/>
                <w:sz w:val="21"/>
                <w:szCs w:val="21"/>
              </w:rPr>
            </w:pPr>
          </w:p>
        </w:tc>
        <w:tc>
          <w:tcPr>
            <w:tcW w:w="2232" w:type="dxa"/>
          </w:tcPr>
          <w:p w14:paraId="14EA6207" w14:textId="77777777" w:rsidR="00FF60EE" w:rsidRPr="00FF60EE" w:rsidRDefault="00FF60EE" w:rsidP="00FF60E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bCs/>
                <w:sz w:val="21"/>
                <w:szCs w:val="21"/>
              </w:rPr>
            </w:pPr>
          </w:p>
        </w:tc>
      </w:tr>
      <w:tr w:rsidR="005421C9" w:rsidRPr="00FF60EE" w14:paraId="49C8BE7A" w14:textId="77777777" w:rsidTr="00FF60EE">
        <w:trPr>
          <w:trHeight w:val="263"/>
        </w:trPr>
        <w:tc>
          <w:tcPr>
            <w:cnfStyle w:val="001000000000" w:firstRow="0" w:lastRow="0" w:firstColumn="1" w:lastColumn="0" w:oddVBand="0" w:evenVBand="0" w:oddHBand="0" w:evenHBand="0" w:firstRowFirstColumn="0" w:firstRowLastColumn="0" w:lastRowFirstColumn="0" w:lastRowLastColumn="0"/>
            <w:tcW w:w="3524" w:type="dxa"/>
          </w:tcPr>
          <w:p w14:paraId="109C4495" w14:textId="77777777" w:rsidR="00FF60EE" w:rsidRPr="00FF60EE" w:rsidRDefault="00FF60EE" w:rsidP="00FF60EE">
            <w:pPr>
              <w:rPr>
                <w:rFonts w:ascii="Verdana" w:eastAsia="Calibri" w:hAnsi="Verdana" w:cs="Times New Roman"/>
                <w:bCs/>
                <w:sz w:val="21"/>
                <w:szCs w:val="21"/>
              </w:rPr>
            </w:pPr>
            <w:r w:rsidRPr="00FF60EE">
              <w:rPr>
                <w:rFonts w:ascii="Verdana" w:eastAsia="Calibri" w:hAnsi="Verdana" w:cs="Times New Roman"/>
                <w:bCs/>
                <w:sz w:val="21"/>
                <w:szCs w:val="21"/>
              </w:rPr>
              <w:t>Automobile</w:t>
            </w:r>
          </w:p>
        </w:tc>
        <w:tc>
          <w:tcPr>
            <w:tcW w:w="1797" w:type="dxa"/>
          </w:tcPr>
          <w:p w14:paraId="55FFC7BE" w14:textId="77777777" w:rsidR="00FF60EE" w:rsidRPr="00FF60EE" w:rsidRDefault="00FF60EE" w:rsidP="00FF60E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bCs/>
                <w:sz w:val="21"/>
                <w:szCs w:val="21"/>
              </w:rPr>
            </w:pPr>
          </w:p>
        </w:tc>
        <w:tc>
          <w:tcPr>
            <w:tcW w:w="1797" w:type="dxa"/>
          </w:tcPr>
          <w:p w14:paraId="509EA607" w14:textId="37357DC0" w:rsidR="00FF60EE" w:rsidRPr="00FF60EE" w:rsidRDefault="00FF60EE" w:rsidP="00FF60E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bCs/>
                <w:sz w:val="21"/>
                <w:szCs w:val="21"/>
              </w:rPr>
            </w:pPr>
          </w:p>
        </w:tc>
        <w:tc>
          <w:tcPr>
            <w:tcW w:w="2232" w:type="dxa"/>
          </w:tcPr>
          <w:p w14:paraId="71544ADC" w14:textId="77777777" w:rsidR="00FF60EE" w:rsidRPr="00FF60EE" w:rsidRDefault="00FF60EE" w:rsidP="00FF60EE">
            <w:pPr>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bCs/>
                <w:sz w:val="21"/>
                <w:szCs w:val="21"/>
              </w:rPr>
            </w:pPr>
          </w:p>
        </w:tc>
      </w:tr>
      <w:tr w:rsidR="00FF60EE" w:rsidRPr="005421C9" w14:paraId="401B82C3" w14:textId="77777777" w:rsidTr="00FF60EE">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524" w:type="dxa"/>
          </w:tcPr>
          <w:p w14:paraId="35401F2B" w14:textId="77777777" w:rsidR="00FF60EE" w:rsidRPr="00FF60EE" w:rsidRDefault="00FF60EE" w:rsidP="00FF60EE">
            <w:pPr>
              <w:rPr>
                <w:rFonts w:ascii="Verdana" w:eastAsia="Calibri" w:hAnsi="Verdana" w:cs="Times New Roman"/>
                <w:bCs/>
                <w:sz w:val="21"/>
                <w:szCs w:val="21"/>
              </w:rPr>
            </w:pPr>
            <w:r w:rsidRPr="00FF60EE">
              <w:rPr>
                <w:rFonts w:ascii="Verdana" w:eastAsia="Calibri" w:hAnsi="Verdana" w:cs="Times New Roman"/>
                <w:bCs/>
                <w:sz w:val="21"/>
                <w:szCs w:val="21"/>
              </w:rPr>
              <w:t>Umbrella</w:t>
            </w:r>
          </w:p>
        </w:tc>
        <w:tc>
          <w:tcPr>
            <w:tcW w:w="1797" w:type="dxa"/>
          </w:tcPr>
          <w:p w14:paraId="77F88E15" w14:textId="77777777" w:rsidR="00FF60EE" w:rsidRPr="00FF60EE" w:rsidRDefault="00FF60EE" w:rsidP="00FF60E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bCs/>
                <w:sz w:val="21"/>
                <w:szCs w:val="21"/>
              </w:rPr>
            </w:pPr>
          </w:p>
        </w:tc>
        <w:tc>
          <w:tcPr>
            <w:tcW w:w="1797" w:type="dxa"/>
          </w:tcPr>
          <w:p w14:paraId="156FB730" w14:textId="77777777" w:rsidR="00FF60EE" w:rsidRPr="00FF60EE" w:rsidRDefault="00FF60EE" w:rsidP="00FF60E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bCs/>
                <w:sz w:val="21"/>
                <w:szCs w:val="21"/>
              </w:rPr>
            </w:pPr>
          </w:p>
        </w:tc>
        <w:tc>
          <w:tcPr>
            <w:tcW w:w="2232" w:type="dxa"/>
          </w:tcPr>
          <w:p w14:paraId="79D37424" w14:textId="77777777" w:rsidR="00FF60EE" w:rsidRPr="00FF60EE" w:rsidRDefault="00FF60EE" w:rsidP="00FF60EE">
            <w:pPr>
              <w:cnfStyle w:val="000000100000" w:firstRow="0" w:lastRow="0" w:firstColumn="0" w:lastColumn="0" w:oddVBand="0" w:evenVBand="0" w:oddHBand="1" w:evenHBand="0" w:firstRowFirstColumn="0" w:firstRowLastColumn="0" w:lastRowFirstColumn="0" w:lastRowLastColumn="0"/>
              <w:rPr>
                <w:rFonts w:ascii="Verdana" w:eastAsia="Calibri" w:hAnsi="Verdana" w:cs="Times New Roman"/>
                <w:bCs/>
                <w:sz w:val="21"/>
                <w:szCs w:val="21"/>
              </w:rPr>
            </w:pPr>
          </w:p>
        </w:tc>
      </w:tr>
    </w:tbl>
    <w:p w14:paraId="7A744C14" w14:textId="77777777" w:rsidR="00FF60EE" w:rsidRPr="00FF60EE" w:rsidRDefault="00FF60EE" w:rsidP="00FF60EE">
      <w:pPr>
        <w:spacing w:after="160" w:line="256" w:lineRule="auto"/>
        <w:ind w:left="1080"/>
        <w:contextualSpacing/>
        <w:rPr>
          <w:rFonts w:ascii="Verdana" w:eastAsia="Calibri" w:hAnsi="Verdana" w:cs="Times New Roman"/>
          <w:sz w:val="21"/>
          <w:szCs w:val="21"/>
        </w:rPr>
      </w:pPr>
    </w:p>
    <w:p w14:paraId="5A9781EB" w14:textId="77777777" w:rsidR="00FF60EE" w:rsidRPr="00FF60EE" w:rsidRDefault="00FF60EE" w:rsidP="00FF60EE">
      <w:pPr>
        <w:spacing w:after="160" w:line="256" w:lineRule="auto"/>
        <w:ind w:left="1080"/>
        <w:contextualSpacing/>
        <w:rPr>
          <w:rFonts w:ascii="Verdana" w:eastAsia="Calibri" w:hAnsi="Verdana" w:cs="Times New Roman"/>
          <w:sz w:val="21"/>
          <w:szCs w:val="21"/>
        </w:rPr>
      </w:pPr>
    </w:p>
    <w:p w14:paraId="015FE885" w14:textId="77777777" w:rsidR="00FF60EE" w:rsidRPr="00FF60EE" w:rsidRDefault="00FF60EE" w:rsidP="00FF60EE">
      <w:pPr>
        <w:numPr>
          <w:ilvl w:val="0"/>
          <w:numId w:val="8"/>
        </w:numPr>
        <w:spacing w:after="160" w:line="256" w:lineRule="auto"/>
        <w:contextualSpacing/>
        <w:rPr>
          <w:rFonts w:ascii="Verdana" w:eastAsia="Calibri" w:hAnsi="Verdana" w:cs="Times New Roman"/>
          <w:sz w:val="21"/>
          <w:szCs w:val="21"/>
        </w:rPr>
      </w:pPr>
      <w:r w:rsidRPr="00FF60EE">
        <w:rPr>
          <w:rFonts w:ascii="Verdana" w:eastAsia="Calibri" w:hAnsi="Verdana" w:cs="Times New Roman"/>
          <w:sz w:val="21"/>
          <w:szCs w:val="21"/>
        </w:rPr>
        <w:t>Does the insurance coverage your network holds meet the requirements of its contracts?</w:t>
      </w:r>
    </w:p>
    <w:p w14:paraId="5767E91E" w14:textId="77777777" w:rsidR="00FF60EE" w:rsidRPr="00FF60EE" w:rsidRDefault="00FF60EE" w:rsidP="00FF60EE">
      <w:pPr>
        <w:numPr>
          <w:ilvl w:val="0"/>
          <w:numId w:val="8"/>
        </w:numPr>
        <w:spacing w:after="160" w:line="256" w:lineRule="auto"/>
        <w:contextualSpacing/>
        <w:rPr>
          <w:rFonts w:ascii="Verdana" w:eastAsia="Calibri" w:hAnsi="Verdana" w:cs="Times New Roman"/>
          <w:bCs/>
          <w:sz w:val="21"/>
          <w:szCs w:val="21"/>
        </w:rPr>
      </w:pPr>
      <w:r w:rsidRPr="00FF60EE">
        <w:rPr>
          <w:rFonts w:ascii="Verdana" w:eastAsia="Calibri" w:hAnsi="Verdana" w:cs="Times New Roman"/>
          <w:bCs/>
          <w:sz w:val="21"/>
          <w:szCs w:val="21"/>
        </w:rPr>
        <w:t>If your network has a subsidiary organization (e.g., an LLC), has your network discussed that entity with its insurance provider?</w:t>
      </w:r>
    </w:p>
    <w:p w14:paraId="48670395" w14:textId="77777777" w:rsidR="00FF60EE" w:rsidRPr="00FF60EE" w:rsidRDefault="00FF60EE" w:rsidP="00FF60EE">
      <w:pPr>
        <w:numPr>
          <w:ilvl w:val="0"/>
          <w:numId w:val="8"/>
        </w:numPr>
        <w:spacing w:after="160" w:line="256" w:lineRule="auto"/>
        <w:contextualSpacing/>
        <w:rPr>
          <w:rFonts w:ascii="Verdana" w:eastAsia="Calibri" w:hAnsi="Verdana" w:cs="Times New Roman"/>
          <w:bCs/>
          <w:sz w:val="21"/>
          <w:szCs w:val="21"/>
        </w:rPr>
      </w:pPr>
      <w:r w:rsidRPr="00FF60EE">
        <w:rPr>
          <w:rFonts w:ascii="Verdana" w:eastAsia="Calibri" w:hAnsi="Verdana" w:cs="Times New Roman"/>
          <w:bCs/>
          <w:sz w:val="21"/>
          <w:szCs w:val="21"/>
        </w:rPr>
        <w:t xml:space="preserve">Has your network compared its contract requirements with the requirements of its downstream service providers? How will your network ensure its downstream providers comply with these contract requirements? </w:t>
      </w:r>
    </w:p>
    <w:p w14:paraId="33014EB6" w14:textId="77777777" w:rsidR="00FF60EE" w:rsidRPr="00FF60EE" w:rsidRDefault="00FF60EE" w:rsidP="00FF60EE">
      <w:pPr>
        <w:numPr>
          <w:ilvl w:val="0"/>
          <w:numId w:val="8"/>
        </w:numPr>
        <w:spacing w:after="160" w:line="256" w:lineRule="auto"/>
        <w:contextualSpacing/>
        <w:rPr>
          <w:rFonts w:ascii="Verdana" w:eastAsia="Calibri" w:hAnsi="Verdana" w:cs="Times New Roman"/>
          <w:bCs/>
          <w:sz w:val="21"/>
          <w:szCs w:val="21"/>
        </w:rPr>
      </w:pPr>
      <w:r w:rsidRPr="00FF60EE">
        <w:rPr>
          <w:rFonts w:ascii="Verdana" w:eastAsia="Calibri" w:hAnsi="Verdana" w:cs="Times New Roman"/>
          <w:bCs/>
          <w:sz w:val="21"/>
          <w:szCs w:val="21"/>
        </w:rPr>
        <w:lastRenderedPageBreak/>
        <w:t>Does your network have business associate agreements in place with its downstream providers?</w:t>
      </w:r>
    </w:p>
    <w:p w14:paraId="54355EF4" w14:textId="77777777" w:rsidR="00FF60EE" w:rsidRPr="00FF60EE" w:rsidRDefault="00FF60EE" w:rsidP="00FF60EE">
      <w:pPr>
        <w:numPr>
          <w:ilvl w:val="0"/>
          <w:numId w:val="8"/>
        </w:numPr>
        <w:spacing w:after="160" w:line="256" w:lineRule="auto"/>
        <w:contextualSpacing/>
        <w:rPr>
          <w:rFonts w:ascii="Verdana" w:eastAsia="Calibri" w:hAnsi="Verdana" w:cs="Times New Roman"/>
          <w:bCs/>
          <w:sz w:val="21"/>
          <w:szCs w:val="21"/>
        </w:rPr>
      </w:pPr>
      <w:r w:rsidRPr="00FF60EE">
        <w:rPr>
          <w:rFonts w:ascii="Verdana" w:eastAsia="Calibri" w:hAnsi="Verdana" w:cs="Times New Roman"/>
          <w:bCs/>
          <w:sz w:val="21"/>
          <w:szCs w:val="21"/>
        </w:rPr>
        <w:t xml:space="preserve">When did your network conduct its most recent review of its agreements with downstream providers with an eye toward risk management? </w:t>
      </w:r>
    </w:p>
    <w:p w14:paraId="1E889162" w14:textId="77777777" w:rsidR="00FF60EE" w:rsidRPr="00FF60EE" w:rsidRDefault="00FF60EE" w:rsidP="00FF60EE">
      <w:pPr>
        <w:numPr>
          <w:ilvl w:val="0"/>
          <w:numId w:val="8"/>
        </w:numPr>
        <w:spacing w:after="160" w:line="256" w:lineRule="auto"/>
        <w:contextualSpacing/>
        <w:rPr>
          <w:rFonts w:ascii="Verdana" w:eastAsia="Calibri" w:hAnsi="Verdana" w:cs="Times New Roman"/>
          <w:bCs/>
          <w:sz w:val="21"/>
          <w:szCs w:val="21"/>
        </w:rPr>
      </w:pPr>
      <w:r w:rsidRPr="00FF60EE">
        <w:rPr>
          <w:rFonts w:ascii="Verdana" w:eastAsia="Calibri" w:hAnsi="Verdana" w:cs="Times New Roman"/>
          <w:bCs/>
          <w:sz w:val="21"/>
          <w:szCs w:val="21"/>
        </w:rPr>
        <w:t xml:space="preserve">What credentialing processes does your network have for its members? How do these credentialing processes align with the requirements of your network’s health care partners? </w:t>
      </w:r>
    </w:p>
    <w:p w14:paraId="783E0ECD" w14:textId="77777777" w:rsidR="00FF60EE" w:rsidRPr="00FF60EE" w:rsidRDefault="00FF60EE" w:rsidP="00FF60EE">
      <w:pPr>
        <w:numPr>
          <w:ilvl w:val="0"/>
          <w:numId w:val="8"/>
        </w:numPr>
        <w:spacing w:after="160" w:line="256" w:lineRule="auto"/>
        <w:contextualSpacing/>
        <w:rPr>
          <w:rFonts w:ascii="Verdana" w:eastAsia="Calibri" w:hAnsi="Verdana" w:cs="Times New Roman"/>
          <w:bCs/>
          <w:sz w:val="21"/>
          <w:szCs w:val="21"/>
        </w:rPr>
      </w:pPr>
      <w:r w:rsidRPr="00FF60EE">
        <w:rPr>
          <w:rFonts w:ascii="Verdana" w:eastAsia="Calibri" w:hAnsi="Verdana" w:cs="Times New Roman"/>
          <w:bCs/>
          <w:sz w:val="21"/>
          <w:szCs w:val="21"/>
        </w:rPr>
        <w:t xml:space="preserve">Does your network have a plan in place to address </w:t>
      </w:r>
      <w:hyperlink r:id="rId15" w:history="1">
        <w:r w:rsidRPr="00FF60EE">
          <w:rPr>
            <w:rFonts w:ascii="Verdana" w:eastAsia="Calibri" w:hAnsi="Verdana" w:cs="Times New Roman"/>
            <w:bCs/>
            <w:color w:val="0563C1"/>
            <w:sz w:val="21"/>
            <w:szCs w:val="21"/>
            <w:u w:val="single"/>
          </w:rPr>
          <w:t>antitrust concerns</w:t>
        </w:r>
      </w:hyperlink>
      <w:r w:rsidRPr="00FF60EE">
        <w:rPr>
          <w:rFonts w:ascii="Verdana" w:eastAsia="Calibri" w:hAnsi="Verdana" w:cs="Times New Roman"/>
          <w:bCs/>
          <w:sz w:val="21"/>
          <w:szCs w:val="21"/>
        </w:rPr>
        <w:t>?</w:t>
      </w:r>
    </w:p>
    <w:p w14:paraId="7FCAC322" w14:textId="77777777" w:rsidR="00FF60EE" w:rsidRPr="00FF60EE" w:rsidRDefault="00FF60EE" w:rsidP="00FF60EE">
      <w:pPr>
        <w:spacing w:after="160" w:line="259" w:lineRule="auto"/>
        <w:rPr>
          <w:rFonts w:ascii="Verdana" w:eastAsia="Calibri" w:hAnsi="Verdana" w:cs="Times New Roman"/>
          <w:bCs/>
          <w:sz w:val="21"/>
          <w:szCs w:val="21"/>
        </w:rPr>
      </w:pPr>
    </w:p>
    <w:p w14:paraId="20ACE883" w14:textId="77777777" w:rsidR="00FF60EE" w:rsidRPr="00FF60EE" w:rsidRDefault="00FF60EE" w:rsidP="00FF60EE">
      <w:pPr>
        <w:spacing w:after="160" w:line="259" w:lineRule="auto"/>
        <w:rPr>
          <w:rFonts w:ascii="Verdana" w:eastAsia="Calibri" w:hAnsi="Verdana" w:cs="Times New Roman"/>
          <w:b/>
          <w:sz w:val="21"/>
          <w:szCs w:val="21"/>
        </w:rPr>
      </w:pPr>
      <w:r w:rsidRPr="00FF60EE">
        <w:rPr>
          <w:rFonts w:ascii="Verdana" w:eastAsia="Calibri" w:hAnsi="Verdana" w:cs="Times New Roman"/>
          <w:b/>
          <w:sz w:val="21"/>
          <w:szCs w:val="21"/>
        </w:rPr>
        <w:t>Questions to Think Through</w:t>
      </w:r>
    </w:p>
    <w:p w14:paraId="2460B87E" w14:textId="77777777" w:rsidR="00FF60EE" w:rsidRPr="00FF60EE" w:rsidRDefault="00FF60EE" w:rsidP="00FF60EE">
      <w:pPr>
        <w:numPr>
          <w:ilvl w:val="0"/>
          <w:numId w:val="7"/>
        </w:numPr>
        <w:spacing w:after="160" w:line="256" w:lineRule="auto"/>
        <w:contextualSpacing/>
        <w:rPr>
          <w:rFonts w:ascii="Verdana" w:eastAsia="Calibri" w:hAnsi="Verdana" w:cs="Times New Roman"/>
          <w:bCs/>
          <w:sz w:val="21"/>
          <w:szCs w:val="21"/>
        </w:rPr>
      </w:pPr>
      <w:r w:rsidRPr="00FF60EE">
        <w:rPr>
          <w:rFonts w:ascii="Verdana" w:eastAsia="Calibri" w:hAnsi="Verdana" w:cs="Times New Roman"/>
          <w:bCs/>
          <w:sz w:val="21"/>
          <w:szCs w:val="21"/>
        </w:rPr>
        <w:t>Considering your responses to the questions on this worksheet, what are the two biggest challenges facing your network?</w:t>
      </w:r>
    </w:p>
    <w:p w14:paraId="308EC22C" w14:textId="77777777" w:rsidR="003129B9" w:rsidRDefault="00FF60EE" w:rsidP="003129B9">
      <w:pPr>
        <w:numPr>
          <w:ilvl w:val="0"/>
          <w:numId w:val="7"/>
        </w:numPr>
        <w:spacing w:after="160" w:line="256" w:lineRule="auto"/>
        <w:contextualSpacing/>
        <w:rPr>
          <w:rFonts w:ascii="Verdana" w:eastAsia="Calibri" w:hAnsi="Verdana" w:cs="Times New Roman"/>
          <w:bCs/>
          <w:sz w:val="21"/>
          <w:szCs w:val="21"/>
        </w:rPr>
      </w:pPr>
      <w:r w:rsidRPr="00FF60EE">
        <w:rPr>
          <w:rFonts w:ascii="Verdana" w:eastAsia="Calibri" w:hAnsi="Verdana" w:cs="Times New Roman"/>
          <w:bCs/>
          <w:sz w:val="21"/>
          <w:szCs w:val="21"/>
        </w:rPr>
        <w:t>What are the two steps your network needs to take immediately (within the next three months) to address its challenges?</w:t>
      </w:r>
    </w:p>
    <w:p w14:paraId="67554085" w14:textId="217C1718" w:rsidR="008A1DA3" w:rsidRPr="003129B9" w:rsidRDefault="00FF60EE" w:rsidP="003129B9">
      <w:pPr>
        <w:numPr>
          <w:ilvl w:val="0"/>
          <w:numId w:val="7"/>
        </w:numPr>
        <w:spacing w:after="160" w:line="256" w:lineRule="auto"/>
        <w:contextualSpacing/>
        <w:rPr>
          <w:rFonts w:ascii="Verdana" w:eastAsia="Calibri" w:hAnsi="Verdana" w:cs="Times New Roman"/>
          <w:bCs/>
          <w:sz w:val="21"/>
          <w:szCs w:val="21"/>
        </w:rPr>
      </w:pPr>
      <w:r w:rsidRPr="003129B9">
        <w:rPr>
          <w:rFonts w:ascii="Verdana" w:eastAsia="Calibri" w:hAnsi="Verdana" w:cs="Times New Roman"/>
          <w:bCs/>
          <w:sz w:val="21"/>
          <w:szCs w:val="21"/>
        </w:rPr>
        <w:t>What are two steps your network needs to take over the next six to 12 months to move forward in its development?</w:t>
      </w:r>
    </w:p>
    <w:p w14:paraId="126DBD2A" w14:textId="39C57639" w:rsidR="003129B9" w:rsidRPr="003129B9" w:rsidRDefault="003129B9" w:rsidP="009826D2">
      <w:pPr>
        <w:numPr>
          <w:ilvl w:val="0"/>
          <w:numId w:val="7"/>
        </w:numPr>
        <w:spacing w:after="160" w:line="360" w:lineRule="auto"/>
        <w:ind w:left="360"/>
        <w:contextualSpacing/>
        <w:jc w:val="center"/>
        <w:rPr>
          <w:rFonts w:ascii="Neutraface Text Book" w:hAnsi="Neutraface Text Book"/>
          <w:b/>
          <w:color w:val="595959" w:themeColor="text1" w:themeTint="A6"/>
          <w:u w:val="single"/>
        </w:rPr>
        <w:sectPr w:rsidR="003129B9" w:rsidRPr="003129B9" w:rsidSect="008A1DA3">
          <w:type w:val="continuous"/>
          <w:pgSz w:w="12240" w:h="15840"/>
          <w:pgMar w:top="2592" w:right="1440" w:bottom="1440" w:left="2016" w:header="720" w:footer="720" w:gutter="0"/>
          <w:cols w:space="720"/>
          <w:formProt w:val="0"/>
          <w:titlePg/>
          <w:docGrid w:linePitch="360"/>
        </w:sectPr>
      </w:pPr>
    </w:p>
    <w:p w14:paraId="6640E5F0" w14:textId="77777777" w:rsidR="00B82515" w:rsidRPr="00B82515" w:rsidRDefault="00B82515" w:rsidP="00B82515">
      <w:pPr>
        <w:rPr>
          <w:rFonts w:ascii="Georgia" w:hAnsi="Georgia"/>
          <w:sz w:val="22"/>
          <w:szCs w:val="22"/>
        </w:rPr>
      </w:pPr>
    </w:p>
    <w:p w14:paraId="62C221A5" w14:textId="77777777" w:rsidR="00B82515" w:rsidRPr="00B82515" w:rsidRDefault="00B82515" w:rsidP="00B82515">
      <w:pPr>
        <w:rPr>
          <w:rFonts w:ascii="Georgia" w:hAnsi="Georgia"/>
          <w:sz w:val="22"/>
          <w:szCs w:val="22"/>
        </w:rPr>
      </w:pPr>
    </w:p>
    <w:p w14:paraId="4C91A1A4" w14:textId="77777777" w:rsidR="00B82515" w:rsidRPr="00B6710B" w:rsidRDefault="00B82515" w:rsidP="00B82515"/>
    <w:p w14:paraId="09F2DD3C" w14:textId="77777777" w:rsidR="00B82515" w:rsidRDefault="00B82515" w:rsidP="00B82515"/>
    <w:p w14:paraId="19205E15" w14:textId="4B0B52CD" w:rsidR="00144FD6" w:rsidRPr="00144FD6" w:rsidRDefault="00144FD6" w:rsidP="00B82515">
      <w:pPr>
        <w:pStyle w:val="NormalWeb"/>
        <w:spacing w:line="360" w:lineRule="auto"/>
        <w:rPr>
          <w:rFonts w:ascii="Neutraface Text Book" w:hAnsi="Neutraface Text Book"/>
          <w:i/>
          <w:color w:val="595959" w:themeColor="text1" w:themeTint="A6"/>
          <w:sz w:val="20"/>
          <w:szCs w:val="20"/>
        </w:rPr>
      </w:pPr>
    </w:p>
    <w:sectPr w:rsidR="00144FD6" w:rsidRPr="00144FD6" w:rsidSect="00B82515">
      <w:headerReference w:type="default" r:id="rId16"/>
      <w:foot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B1A43" w14:textId="77777777" w:rsidR="001E6795" w:rsidRDefault="001E6795" w:rsidP="008A1DA3">
      <w:r>
        <w:separator/>
      </w:r>
    </w:p>
  </w:endnote>
  <w:endnote w:type="continuationSeparator" w:id="0">
    <w:p w14:paraId="060FC8D2" w14:textId="77777777" w:rsidR="001E6795" w:rsidRDefault="001E6795" w:rsidP="008A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utraface Text Book">
    <w:altName w:val="Lucida Sans Unicode"/>
    <w:charset w:val="00"/>
    <w:family w:val="auto"/>
    <w:pitch w:val="variable"/>
    <w:sig w:usb0="00000001" w:usb1="5000204A" w:usb2="00000000" w:usb3="00000000" w:csb0="0000009B"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A0539" w14:textId="77777777" w:rsidR="003129B9" w:rsidRDefault="003129B9" w:rsidP="003129B9">
    <w:pPr>
      <w:tabs>
        <w:tab w:val="center" w:pos="4680"/>
        <w:tab w:val="right" w:pos="9360"/>
      </w:tabs>
      <w:rPr>
        <w:rFonts w:ascii="Verdana" w:eastAsia="Calibri" w:hAnsi="Verdana" w:cs="Times New Roman"/>
        <w:i/>
        <w:iCs/>
        <w:sz w:val="16"/>
        <w:szCs w:val="16"/>
      </w:rPr>
    </w:pPr>
    <w:r>
      <w:rPr>
        <w:rFonts w:ascii="Verdana" w:eastAsia="Calibri" w:hAnsi="Verdana" w:cs="Times New Roman"/>
        <w:i/>
        <w:iCs/>
        <w:sz w:val="16"/>
        <w:szCs w:val="16"/>
      </w:rPr>
      <w:t>These worksheets were created for participants of the 2020 Network Operations Learning Collaborative, which was funded by the U.S. Administration for Community Living, U.S. Department of Health and Human Services through a contract with the Lewin Group. Points of view or opinions do not, therefore, necessarily represent official Administration for Community Living policy.</w:t>
    </w:r>
  </w:p>
  <w:p w14:paraId="1DE6FB62" w14:textId="77777777" w:rsidR="003129B9" w:rsidRDefault="003129B9" w:rsidP="00E07861">
    <w:pPr>
      <w:tabs>
        <w:tab w:val="center" w:pos="4680"/>
        <w:tab w:val="right" w:pos="9360"/>
      </w:tabs>
      <w:rPr>
        <w:rFonts w:ascii="Verdana" w:eastAsia="Calibri" w:hAnsi="Verdana" w:cs="Times New Roman"/>
        <w:i/>
        <w:iCs/>
        <w:color w:val="221E1F"/>
        <w:sz w:val="16"/>
        <w:szCs w:val="16"/>
      </w:rPr>
    </w:pPr>
  </w:p>
  <w:p w14:paraId="7D1AD428" w14:textId="33CEC1A1" w:rsidR="00B06028" w:rsidRPr="00E07861" w:rsidRDefault="00E07861" w:rsidP="00E07861">
    <w:pPr>
      <w:tabs>
        <w:tab w:val="center" w:pos="4680"/>
        <w:tab w:val="right" w:pos="9360"/>
      </w:tabs>
      <w:rPr>
        <w:rFonts w:ascii="Verdana" w:eastAsia="Calibri" w:hAnsi="Verdana" w:cs="Times New Roman"/>
        <w:sz w:val="16"/>
        <w:szCs w:val="16"/>
      </w:rPr>
    </w:pPr>
    <w:r w:rsidRPr="00E07861">
      <w:rPr>
        <w:rFonts w:ascii="Verdana" w:eastAsia="Calibri" w:hAnsi="Verdana" w:cs="Times New Roman"/>
        <w:i/>
        <w:iCs/>
        <w:color w:val="221E1F"/>
        <w:sz w:val="16"/>
        <w:szCs w:val="16"/>
      </w:rPr>
      <w:t xml:space="preserve">This publication was produced by the Aging and Disability Business Institute. Led by the National Association of Area Agencies on Aging (n4a) in partnership with the most experienced and respected organizations in the Aging and Disability Networks, the mission of the Aging and Disability Business Institute is to build and strengthen partnerships between aging and disability community-based organizations and the health care system. Funded by The John A. Hartford Foundation, The SCAN Foundation and the Administration for Community Living, the Aging and Disability Business Institute provides community-based organizations with the tools and resources to successfully adapt to a changing health care environment, enhance their organizational capacity and capitalize on emerging opportunities to diversify funding. Learn more at </w:t>
    </w:r>
    <w:r w:rsidRPr="00E07861">
      <w:rPr>
        <w:rFonts w:ascii="Verdana" w:eastAsia="Calibri" w:hAnsi="Verdana" w:cs="Calibri"/>
        <w:b/>
        <w:bCs/>
        <w:i/>
        <w:iCs/>
        <w:color w:val="005D97"/>
        <w:sz w:val="16"/>
        <w:szCs w:val="16"/>
      </w:rPr>
      <w:t>www.aginganddisabilitybusinessinstitute.org</w:t>
    </w:r>
    <w:r w:rsidRPr="00E07861">
      <w:rPr>
        <w:rFonts w:ascii="Verdana" w:eastAsia="Calibri" w:hAnsi="Verdana" w:cs="Times New Roman"/>
        <w:i/>
        <w:iCs/>
        <w:color w:val="221E1F"/>
        <w:sz w:val="16"/>
        <w:szCs w:val="16"/>
      </w:rPr>
      <w:t>.</w:t>
    </w:r>
  </w:p>
  <w:p w14:paraId="7DBF8D70" w14:textId="77777777" w:rsidR="006237C1" w:rsidRDefault="006237C1"/>
  <w:p w14:paraId="62730551" w14:textId="77777777" w:rsidR="006237C1" w:rsidRDefault="006237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8952826"/>
      <w:docPartObj>
        <w:docPartGallery w:val="Page Numbers (Bottom of Page)"/>
        <w:docPartUnique/>
      </w:docPartObj>
    </w:sdtPr>
    <w:sdtEndPr>
      <w:rPr>
        <w:noProof/>
      </w:rPr>
    </w:sdtEndPr>
    <w:sdtContent>
      <w:p w14:paraId="44C94401" w14:textId="77777777" w:rsidR="00B06028" w:rsidRDefault="00B06028">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7842AC1B" w14:textId="77777777" w:rsidR="00B06028" w:rsidRDefault="00B06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6FA5E2" w14:textId="77777777" w:rsidR="001E6795" w:rsidRDefault="001E6795" w:rsidP="008A1DA3">
      <w:r>
        <w:separator/>
      </w:r>
    </w:p>
  </w:footnote>
  <w:footnote w:type="continuationSeparator" w:id="0">
    <w:p w14:paraId="45B36F68" w14:textId="77777777" w:rsidR="001E6795" w:rsidRDefault="001E6795" w:rsidP="008A1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932AA" w14:textId="77777777" w:rsidR="00B06028" w:rsidRDefault="003129B9">
    <w:pPr>
      <w:pStyle w:val="Header"/>
    </w:pPr>
    <w:r>
      <w:rPr>
        <w:noProof/>
      </w:rPr>
      <w:pict w14:anchorId="2E6F6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611.05pt;height:11in;z-index:-251654144;mso-wrap-edited:f;mso-position-horizontal:center;mso-position-horizontal-relative:margin;mso-position-vertical:center;mso-position-vertical-relative:margin" wrapcoords="-27 0 -27 21580 21600 21580 21600 0 -27 0">
          <v:imagedata r:id="rId1" o:title="BorderGraphic"/>
          <w10:wrap anchorx="margin" anchory="margin"/>
        </v:shape>
      </w:pict>
    </w:r>
  </w:p>
  <w:p w14:paraId="01E97009" w14:textId="77777777" w:rsidR="006237C1" w:rsidRDefault="006237C1"/>
  <w:p w14:paraId="20A8E4FD" w14:textId="77777777" w:rsidR="006237C1" w:rsidRDefault="006237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9ABEE" w14:textId="77777777" w:rsidR="00B06028" w:rsidRDefault="003129B9">
    <w:pPr>
      <w:pStyle w:val="Header"/>
    </w:pPr>
    <w:r>
      <w:rPr>
        <w:noProof/>
      </w:rPr>
      <w:pict w14:anchorId="02408B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105.75pt;margin-top:-130.45pt;width:611.05pt;height:850.65pt;z-index:-251655168;mso-wrap-edited:f;mso-position-horizontal-relative:margin;mso-position-vertical-relative:margin" wrapcoords="-27 0 -27 21580 21600 21580 21600 0 -27 0">
          <v:imagedata r:id="rId1" o:title="BorderGraphic"/>
          <w10:wrap anchorx="margin" anchory="margin"/>
        </v:shape>
      </w:pict>
    </w:r>
  </w:p>
  <w:p w14:paraId="380817D4" w14:textId="77777777" w:rsidR="006237C1" w:rsidRDefault="006237C1"/>
  <w:p w14:paraId="463E1D4A" w14:textId="77777777" w:rsidR="006237C1" w:rsidRDefault="006237C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2A01D" w14:textId="228459AC" w:rsidR="00B06028" w:rsidRDefault="00B06028">
    <w:pPr>
      <w:pStyle w:val="Header"/>
    </w:pPr>
    <w:r w:rsidRPr="008C6702">
      <w:rPr>
        <w:noProof/>
        <w:u w:val="single"/>
      </w:rPr>
      <w:drawing>
        <wp:anchor distT="0" distB="0" distL="114300" distR="114300" simplePos="0" relativeHeight="251665408" behindDoc="0" locked="0" layoutInCell="1" allowOverlap="1" wp14:anchorId="4A70F0E7" wp14:editId="5EDD6242">
          <wp:simplePos x="0" y="0"/>
          <wp:positionH relativeFrom="column">
            <wp:posOffset>1322070</wp:posOffset>
          </wp:positionH>
          <wp:positionV relativeFrom="paragraph">
            <wp:posOffset>-191770</wp:posOffset>
          </wp:positionV>
          <wp:extent cx="2966085" cy="103124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ing Disability Business Institute Logo_CMYK.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66085" cy="1031240"/>
                  </a:xfrm>
                  <a:prstGeom prst="rect">
                    <a:avLst/>
                  </a:prstGeom>
                </pic:spPr>
              </pic:pic>
            </a:graphicData>
          </a:graphic>
          <wp14:sizeRelH relativeFrom="page">
            <wp14:pctWidth>0</wp14:pctWidth>
          </wp14:sizeRelH>
          <wp14:sizeRelV relativeFrom="page">
            <wp14:pctHeight>0</wp14:pctHeight>
          </wp14:sizeRelV>
        </wp:anchor>
      </w:drawing>
    </w:r>
    <w:r w:rsidR="003129B9">
      <w:rPr>
        <w:noProof/>
      </w:rPr>
      <w:pict w14:anchorId="60B367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103.85pt;margin-top:-129.4pt;width:611.05pt;height:11in;z-index:-251653120;mso-wrap-edited:f;mso-position-horizontal-relative:margin;mso-position-vertical-relative:margin" wrapcoords="-27 0 -27 21580 21600 21580 21600 0 -27 0">
          <v:imagedata r:id="rId2" o:title="BorderGraphic"/>
          <w10:wrap anchorx="margin" anchory="margin"/>
        </v:shape>
      </w:pict>
    </w:r>
  </w:p>
  <w:p w14:paraId="623F1620" w14:textId="77777777" w:rsidR="006237C1" w:rsidRDefault="006237C1"/>
  <w:p w14:paraId="70CE192A" w14:textId="77777777" w:rsidR="006237C1" w:rsidRDefault="006237C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DF34E" w14:textId="28D2532A" w:rsidR="00B06028" w:rsidRDefault="00B06028">
    <w:pPr>
      <w:pStyle w:val="Header"/>
    </w:pPr>
    <w:r>
      <w:rPr>
        <w:noProof/>
      </w:rPr>
      <w:t xml:space="preserve">                             </w:t>
    </w:r>
    <w:r w:rsidRPr="00D25CCB">
      <w:rPr>
        <w:rFonts w:ascii="Georgia" w:hAnsi="Georgia"/>
        <w:sz w:val="28"/>
        <w:szCs w:val="28"/>
      </w:rPr>
      <w:t xml:space="preserve"> The John A. Hartford Site Visit Attendees List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128A2"/>
    <w:multiLevelType w:val="hybridMultilevel"/>
    <w:tmpl w:val="1F14977E"/>
    <w:lvl w:ilvl="0" w:tplc="9A7AC60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80244"/>
    <w:multiLevelType w:val="hybridMultilevel"/>
    <w:tmpl w:val="5528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FFF0650"/>
    <w:multiLevelType w:val="hybridMultilevel"/>
    <w:tmpl w:val="B02039A6"/>
    <w:lvl w:ilvl="0" w:tplc="9A7AC60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455067"/>
    <w:multiLevelType w:val="hybridMultilevel"/>
    <w:tmpl w:val="CC02F6D0"/>
    <w:lvl w:ilvl="0" w:tplc="9A7AC60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7F2514"/>
    <w:multiLevelType w:val="hybridMultilevel"/>
    <w:tmpl w:val="5E66C748"/>
    <w:lvl w:ilvl="0" w:tplc="9A7AC60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AA1172"/>
    <w:multiLevelType w:val="hybridMultilevel"/>
    <w:tmpl w:val="3970D644"/>
    <w:lvl w:ilvl="0" w:tplc="9A7AC60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C273D7"/>
    <w:multiLevelType w:val="hybridMultilevel"/>
    <w:tmpl w:val="848A23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C6F7033"/>
    <w:multiLevelType w:val="hybridMultilevel"/>
    <w:tmpl w:val="9BACA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3"/>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1" w:cryptProviderType="rsaAES" w:cryptAlgorithmClass="hash" w:cryptAlgorithmType="typeAny" w:cryptAlgorithmSid="14" w:cryptSpinCount="100000" w:hash="lsiMgHbw00Mpu90L7XLPPy01KzJ0/c5UyhQcTtFwPr6g99/6qhxwYiQRnbGCabWH3V5T+ykyUGCafNH1ECQ4Xg==" w:salt="oigAdLUtPg6kKTeDAEwfeA=="/>
  <w:defaultTabStop w:val="720"/>
  <w:drawingGridHorizontalSpacing w:val="12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DA3"/>
    <w:rsid w:val="001423AE"/>
    <w:rsid w:val="00144FD6"/>
    <w:rsid w:val="001836F8"/>
    <w:rsid w:val="001E6795"/>
    <w:rsid w:val="002A3A43"/>
    <w:rsid w:val="003129B9"/>
    <w:rsid w:val="00330212"/>
    <w:rsid w:val="003A33B4"/>
    <w:rsid w:val="00412275"/>
    <w:rsid w:val="004137A1"/>
    <w:rsid w:val="00446891"/>
    <w:rsid w:val="00484338"/>
    <w:rsid w:val="004E3358"/>
    <w:rsid w:val="005421C9"/>
    <w:rsid w:val="00605BCB"/>
    <w:rsid w:val="006237C1"/>
    <w:rsid w:val="00744DA4"/>
    <w:rsid w:val="007D5963"/>
    <w:rsid w:val="00842B13"/>
    <w:rsid w:val="008A1DA3"/>
    <w:rsid w:val="008C160F"/>
    <w:rsid w:val="008C6702"/>
    <w:rsid w:val="00906C32"/>
    <w:rsid w:val="00A0467F"/>
    <w:rsid w:val="00A544B5"/>
    <w:rsid w:val="00A54B1D"/>
    <w:rsid w:val="00B06028"/>
    <w:rsid w:val="00B215F1"/>
    <w:rsid w:val="00B82515"/>
    <w:rsid w:val="00CD5B4F"/>
    <w:rsid w:val="00D85CF7"/>
    <w:rsid w:val="00DB1A92"/>
    <w:rsid w:val="00DD1607"/>
    <w:rsid w:val="00E07861"/>
    <w:rsid w:val="00F528FA"/>
    <w:rsid w:val="00F90076"/>
    <w:rsid w:val="00FF6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1516334"/>
  <w14:defaultImageDpi w14:val="32767"/>
  <w15:docId w15:val="{9380111C-B821-4C61-9C85-D8F5E286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D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1DA3"/>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8A1DA3"/>
    <w:pPr>
      <w:tabs>
        <w:tab w:val="center" w:pos="4680"/>
        <w:tab w:val="right" w:pos="9360"/>
      </w:tabs>
    </w:pPr>
  </w:style>
  <w:style w:type="character" w:customStyle="1" w:styleId="HeaderChar">
    <w:name w:val="Header Char"/>
    <w:basedOn w:val="DefaultParagraphFont"/>
    <w:link w:val="Header"/>
    <w:uiPriority w:val="99"/>
    <w:rsid w:val="008A1DA3"/>
  </w:style>
  <w:style w:type="paragraph" w:styleId="Footer">
    <w:name w:val="footer"/>
    <w:basedOn w:val="Normal"/>
    <w:link w:val="FooterChar"/>
    <w:uiPriority w:val="99"/>
    <w:unhideWhenUsed/>
    <w:rsid w:val="008A1DA3"/>
    <w:pPr>
      <w:tabs>
        <w:tab w:val="center" w:pos="4680"/>
        <w:tab w:val="right" w:pos="9360"/>
      </w:tabs>
    </w:pPr>
  </w:style>
  <w:style w:type="character" w:customStyle="1" w:styleId="FooterChar">
    <w:name w:val="Footer Char"/>
    <w:basedOn w:val="DefaultParagraphFont"/>
    <w:link w:val="Footer"/>
    <w:uiPriority w:val="99"/>
    <w:rsid w:val="008A1DA3"/>
  </w:style>
  <w:style w:type="paragraph" w:styleId="PlainText">
    <w:name w:val="Plain Text"/>
    <w:basedOn w:val="Normal"/>
    <w:link w:val="PlainTextChar"/>
    <w:uiPriority w:val="99"/>
    <w:unhideWhenUsed/>
    <w:rsid w:val="00B82515"/>
    <w:rPr>
      <w:rFonts w:ascii="Calibri" w:hAnsi="Calibri" w:cs="Consolas"/>
      <w:szCs w:val="21"/>
    </w:rPr>
  </w:style>
  <w:style w:type="character" w:customStyle="1" w:styleId="PlainTextChar">
    <w:name w:val="Plain Text Char"/>
    <w:basedOn w:val="DefaultParagraphFont"/>
    <w:link w:val="PlainText"/>
    <w:uiPriority w:val="99"/>
    <w:rsid w:val="00B82515"/>
    <w:rPr>
      <w:rFonts w:ascii="Calibri" w:hAnsi="Calibri" w:cs="Consolas"/>
      <w:szCs w:val="21"/>
    </w:rPr>
  </w:style>
  <w:style w:type="paragraph" w:styleId="BalloonText">
    <w:name w:val="Balloon Text"/>
    <w:basedOn w:val="Normal"/>
    <w:link w:val="BalloonTextChar"/>
    <w:uiPriority w:val="99"/>
    <w:semiHidden/>
    <w:unhideWhenUsed/>
    <w:rsid w:val="00B82515"/>
    <w:rPr>
      <w:rFonts w:ascii="Tahoma" w:hAnsi="Tahoma" w:cs="Tahoma"/>
      <w:sz w:val="16"/>
      <w:szCs w:val="16"/>
    </w:rPr>
  </w:style>
  <w:style w:type="character" w:customStyle="1" w:styleId="BalloonTextChar">
    <w:name w:val="Balloon Text Char"/>
    <w:basedOn w:val="DefaultParagraphFont"/>
    <w:link w:val="BalloonText"/>
    <w:uiPriority w:val="99"/>
    <w:semiHidden/>
    <w:rsid w:val="00B82515"/>
    <w:rPr>
      <w:rFonts w:ascii="Tahoma" w:hAnsi="Tahoma" w:cs="Tahoma"/>
      <w:sz w:val="16"/>
      <w:szCs w:val="16"/>
    </w:rPr>
  </w:style>
  <w:style w:type="paragraph" w:styleId="ListParagraph">
    <w:name w:val="List Paragraph"/>
    <w:basedOn w:val="Normal"/>
    <w:uiPriority w:val="34"/>
    <w:qFormat/>
    <w:rsid w:val="00484338"/>
    <w:pPr>
      <w:ind w:left="720"/>
      <w:contextualSpacing/>
    </w:pPr>
    <w:rPr>
      <w:sz w:val="22"/>
      <w:szCs w:val="22"/>
    </w:rPr>
  </w:style>
  <w:style w:type="table" w:customStyle="1" w:styleId="GridTable31">
    <w:name w:val="Grid Table 31"/>
    <w:basedOn w:val="TableNormal"/>
    <w:next w:val="GridTable3"/>
    <w:uiPriority w:val="48"/>
    <w:rsid w:val="00FF60EE"/>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
    <w:name w:val="Grid Table 3"/>
    <w:basedOn w:val="TableNormal"/>
    <w:uiPriority w:val="99"/>
    <w:rsid w:val="00FF60E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966726">
      <w:bodyDiv w:val="1"/>
      <w:marLeft w:val="0"/>
      <w:marRight w:val="0"/>
      <w:marTop w:val="0"/>
      <w:marBottom w:val="0"/>
      <w:divBdr>
        <w:top w:val="none" w:sz="0" w:space="0" w:color="auto"/>
        <w:left w:val="none" w:sz="0" w:space="0" w:color="auto"/>
        <w:bottom w:val="none" w:sz="0" w:space="0" w:color="auto"/>
        <w:right w:val="none" w:sz="0" w:space="0" w:color="auto"/>
      </w:divBdr>
    </w:div>
    <w:div w:id="14974562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ginganddisabilitybusinessinstitute.org/wp-content/uploads/2020/06/6-1-ADBI-RG-Contracting.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ginganddisabilitybusinessinstitute.org/adbi-resource/contracting-toolk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aginganddisabilitybusinessinstitute.org/adbi-resource/antitrust-compliance-policy-statemen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aginganddisabilitybusinessinstitute.org/wp-content/uploads/2020/06/6-1-ADBI-RG-Contracting-Term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29EDA-10B6-42CA-8037-C5191E484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Rory Daly</cp:lastModifiedBy>
  <cp:revision>9</cp:revision>
  <cp:lastPrinted>2017-04-17T17:32:00Z</cp:lastPrinted>
  <dcterms:created xsi:type="dcterms:W3CDTF">2021-03-03T16:20:00Z</dcterms:created>
  <dcterms:modified xsi:type="dcterms:W3CDTF">2021-03-04T17:45:00Z</dcterms:modified>
</cp:coreProperties>
</file>