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C8B3A2" w14:textId="77777777" w:rsidR="00E07861" w:rsidRDefault="00E07861" w:rsidP="00E07861">
      <w:pPr>
        <w:keepNext/>
        <w:keepLines/>
        <w:spacing w:before="40" w:line="259" w:lineRule="auto"/>
        <w:jc w:val="center"/>
        <w:outlineLvl w:val="1"/>
        <w:rPr>
          <w:rFonts w:ascii="Verdana" w:eastAsia="Times New Roman" w:hAnsi="Verdana" w:cs="Times New Roman"/>
          <w:color w:val="2F5496"/>
          <w:sz w:val="26"/>
          <w:szCs w:val="26"/>
        </w:rPr>
        <w:sectPr w:rsidR="00E07861" w:rsidSect="008A1DA3">
          <w:headerReference w:type="even" r:id="rId8"/>
          <w:headerReference w:type="default" r:id="rId9"/>
          <w:footerReference w:type="default" r:id="rId10"/>
          <w:headerReference w:type="first" r:id="rId11"/>
          <w:type w:val="continuous"/>
          <w:pgSz w:w="12240" w:h="15840"/>
          <w:pgMar w:top="2592" w:right="1440" w:bottom="1440" w:left="2016" w:header="720" w:footer="720" w:gutter="0"/>
          <w:cols w:space="720"/>
          <w:titlePg/>
          <w:docGrid w:linePitch="360"/>
        </w:sectPr>
      </w:pPr>
    </w:p>
    <w:p w14:paraId="4523F482" w14:textId="77777777" w:rsidR="008B0D61" w:rsidRPr="008B0D61" w:rsidRDefault="008B0D61" w:rsidP="008B0D61">
      <w:pPr>
        <w:pStyle w:val="Heading2"/>
        <w:jc w:val="center"/>
        <w:rPr>
          <w:rFonts w:ascii="Verdana" w:hAnsi="Verdana"/>
        </w:rPr>
      </w:pPr>
      <w:r w:rsidRPr="008B0D61">
        <w:rPr>
          <w:rFonts w:ascii="Verdana" w:hAnsi="Verdana"/>
        </w:rPr>
        <w:t>Finances</w:t>
      </w:r>
    </w:p>
    <w:p w14:paraId="0F680A14" w14:textId="77777777" w:rsidR="008B0D61" w:rsidRPr="008B0D61" w:rsidRDefault="008B0D61" w:rsidP="008B0D61">
      <w:pPr>
        <w:rPr>
          <w:rFonts w:ascii="Verdana" w:hAnsi="Verdana"/>
        </w:rPr>
      </w:pPr>
    </w:p>
    <w:p w14:paraId="2557557E" w14:textId="77777777" w:rsidR="008B0D61" w:rsidRPr="008B0D61" w:rsidRDefault="008B0D61" w:rsidP="008B0D61">
      <w:pPr>
        <w:rPr>
          <w:rFonts w:ascii="Verdana" w:hAnsi="Verdana"/>
          <w:bCs/>
          <w:sz w:val="21"/>
          <w:szCs w:val="21"/>
        </w:rPr>
      </w:pPr>
      <w:r w:rsidRPr="008B0D61">
        <w:rPr>
          <w:rFonts w:ascii="Verdana" w:hAnsi="Verdana"/>
          <w:bCs/>
          <w:sz w:val="21"/>
          <w:szCs w:val="21"/>
        </w:rPr>
        <w:t xml:space="preserve">Successful networks must explore new ways of costing, pricing, </w:t>
      </w:r>
      <w:proofErr w:type="gramStart"/>
      <w:r w:rsidRPr="008B0D61">
        <w:rPr>
          <w:rFonts w:ascii="Verdana" w:hAnsi="Verdana"/>
          <w:bCs/>
          <w:sz w:val="21"/>
          <w:szCs w:val="21"/>
        </w:rPr>
        <w:t>financing</w:t>
      </w:r>
      <w:proofErr w:type="gramEnd"/>
      <w:r w:rsidRPr="008B0D61">
        <w:rPr>
          <w:rFonts w:ascii="Verdana" w:hAnsi="Verdana"/>
          <w:bCs/>
          <w:sz w:val="21"/>
          <w:szCs w:val="21"/>
        </w:rPr>
        <w:t xml:space="preserve"> and managing their services. They must also develop offerings that drive positive outcomes and deliver a meaningful </w:t>
      </w:r>
      <w:hyperlink r:id="rId12" w:history="1">
        <w:r w:rsidRPr="008B0D61">
          <w:rPr>
            <w:rStyle w:val="Hyperlink"/>
            <w:rFonts w:ascii="Verdana" w:hAnsi="Verdana"/>
            <w:bCs/>
            <w:sz w:val="21"/>
            <w:szCs w:val="21"/>
          </w:rPr>
          <w:t>return on investment (ROI)</w:t>
        </w:r>
      </w:hyperlink>
      <w:r w:rsidRPr="008B0D61">
        <w:rPr>
          <w:rFonts w:ascii="Verdana" w:hAnsi="Verdana"/>
          <w:bCs/>
          <w:sz w:val="21"/>
          <w:szCs w:val="21"/>
        </w:rPr>
        <w:t xml:space="preserve"> for their health care partners, while adding value for all of the organizations involved. It is often up to the network’s leadership to ensure that the financial processes, systems, and competencies needed to succeed in this complex environment are well established. This worksheet helps network leadership evaluate financial planning, management processes and systems for operating a network and managing service contracts. Helpful resources for this worksheet include the Aging and Disability Business Institute’s suite of </w:t>
      </w:r>
      <w:hyperlink r:id="rId13" w:history="1">
        <w:r w:rsidRPr="008B0D61">
          <w:rPr>
            <w:rStyle w:val="Hyperlink"/>
            <w:rFonts w:ascii="Verdana" w:hAnsi="Verdana"/>
            <w:bCs/>
            <w:sz w:val="21"/>
            <w:szCs w:val="21"/>
          </w:rPr>
          <w:t>Assessment Tools</w:t>
        </w:r>
      </w:hyperlink>
      <w:r w:rsidRPr="008B0D61">
        <w:rPr>
          <w:rFonts w:ascii="Verdana" w:hAnsi="Verdana"/>
          <w:bCs/>
          <w:sz w:val="21"/>
          <w:szCs w:val="21"/>
        </w:rPr>
        <w:t xml:space="preserve"> which includes the </w:t>
      </w:r>
      <w:hyperlink r:id="rId14" w:history="1">
        <w:r w:rsidRPr="008B0D61">
          <w:rPr>
            <w:rStyle w:val="Hyperlink"/>
            <w:rFonts w:ascii="Verdana" w:hAnsi="Verdana"/>
            <w:bCs/>
            <w:sz w:val="21"/>
            <w:szCs w:val="21"/>
          </w:rPr>
          <w:t>Opportunity Assessment</w:t>
        </w:r>
      </w:hyperlink>
      <w:r w:rsidRPr="008B0D61">
        <w:rPr>
          <w:rFonts w:ascii="Verdana" w:hAnsi="Verdana"/>
          <w:bCs/>
          <w:sz w:val="21"/>
          <w:szCs w:val="21"/>
        </w:rPr>
        <w:t xml:space="preserve">, </w:t>
      </w:r>
      <w:hyperlink r:id="rId15" w:history="1">
        <w:r w:rsidRPr="008B0D61">
          <w:rPr>
            <w:rStyle w:val="Hyperlink"/>
            <w:rFonts w:ascii="Verdana" w:hAnsi="Verdana"/>
            <w:bCs/>
            <w:sz w:val="21"/>
            <w:szCs w:val="21"/>
          </w:rPr>
          <w:t>Competition Analysis</w:t>
        </w:r>
      </w:hyperlink>
      <w:r w:rsidRPr="008B0D61">
        <w:rPr>
          <w:rFonts w:ascii="Verdana" w:hAnsi="Verdana"/>
          <w:bCs/>
          <w:sz w:val="21"/>
          <w:szCs w:val="21"/>
        </w:rPr>
        <w:t xml:space="preserve"> and the </w:t>
      </w:r>
      <w:hyperlink r:id="rId16" w:history="1">
        <w:r w:rsidRPr="008B0D61">
          <w:rPr>
            <w:rStyle w:val="Hyperlink"/>
            <w:rFonts w:ascii="Verdana" w:hAnsi="Verdana"/>
            <w:bCs/>
            <w:sz w:val="21"/>
            <w:szCs w:val="21"/>
          </w:rPr>
          <w:t>Network Readiness Assessment</w:t>
        </w:r>
      </w:hyperlink>
      <w:r w:rsidRPr="008B0D61">
        <w:rPr>
          <w:rFonts w:ascii="Verdana" w:hAnsi="Verdana"/>
          <w:bCs/>
          <w:sz w:val="21"/>
          <w:szCs w:val="21"/>
        </w:rPr>
        <w:t>. Additionally, you may want to review The SCAN Foundation’s</w:t>
      </w:r>
      <w:r w:rsidRPr="008B0D61">
        <w:rPr>
          <w:rFonts w:ascii="Verdana" w:hAnsi="Verdana"/>
          <w:sz w:val="21"/>
          <w:szCs w:val="21"/>
        </w:rPr>
        <w:t xml:space="preserve"> </w:t>
      </w:r>
      <w:hyperlink r:id="rId17" w:history="1">
        <w:r w:rsidRPr="008B0D61">
          <w:rPr>
            <w:rStyle w:val="Hyperlink"/>
            <w:rFonts w:ascii="Verdana" w:hAnsi="Verdana"/>
            <w:bCs/>
            <w:sz w:val="21"/>
            <w:szCs w:val="21"/>
          </w:rPr>
          <w:t>Pricing Guide: A Resource for Community-Based Organizations to Value and Price Services</w:t>
        </w:r>
      </w:hyperlink>
      <w:r w:rsidRPr="008B0D61">
        <w:rPr>
          <w:rFonts w:ascii="Verdana" w:hAnsi="Verdana"/>
          <w:bCs/>
          <w:sz w:val="21"/>
          <w:szCs w:val="21"/>
        </w:rPr>
        <w:t xml:space="preserve"> and other </w:t>
      </w:r>
      <w:hyperlink r:id="rId18" w:history="1">
        <w:r w:rsidRPr="008B0D61">
          <w:rPr>
            <w:rStyle w:val="Hyperlink"/>
            <w:rFonts w:ascii="Verdana" w:hAnsi="Verdana"/>
            <w:bCs/>
            <w:sz w:val="21"/>
            <w:szCs w:val="21"/>
          </w:rPr>
          <w:t>financial resources</w:t>
        </w:r>
      </w:hyperlink>
      <w:r w:rsidRPr="008B0D61">
        <w:rPr>
          <w:rFonts w:ascii="Verdana" w:hAnsi="Verdana"/>
          <w:bCs/>
          <w:sz w:val="21"/>
          <w:szCs w:val="21"/>
        </w:rPr>
        <w:t>.</w:t>
      </w:r>
    </w:p>
    <w:p w14:paraId="22778D67" w14:textId="77777777" w:rsidR="008B0D61" w:rsidRPr="008B0D61" w:rsidRDefault="008B0D61" w:rsidP="008B0D61">
      <w:pPr>
        <w:rPr>
          <w:rFonts w:ascii="Verdana" w:hAnsi="Verdana"/>
          <w:b/>
          <w:sz w:val="21"/>
          <w:szCs w:val="21"/>
        </w:rPr>
      </w:pPr>
    </w:p>
    <w:p w14:paraId="5F787EF5" w14:textId="77777777" w:rsidR="008B0D61" w:rsidRPr="008B0D61" w:rsidRDefault="008B0D61" w:rsidP="008B0D61">
      <w:pPr>
        <w:rPr>
          <w:rFonts w:ascii="Verdana" w:hAnsi="Verdana"/>
          <w:b/>
          <w:sz w:val="21"/>
          <w:szCs w:val="21"/>
        </w:rPr>
      </w:pPr>
      <w:r w:rsidRPr="008B0D61">
        <w:rPr>
          <w:rFonts w:ascii="Verdana" w:hAnsi="Verdana"/>
          <w:b/>
          <w:sz w:val="21"/>
          <w:szCs w:val="21"/>
        </w:rPr>
        <w:t xml:space="preserve">Questions to Consider: </w:t>
      </w:r>
    </w:p>
    <w:p w14:paraId="2CAB7557" w14:textId="77777777" w:rsidR="008B0D61" w:rsidRPr="008B0D61" w:rsidRDefault="008B0D61" w:rsidP="008B0D61">
      <w:pPr>
        <w:pStyle w:val="ListParagraph"/>
        <w:numPr>
          <w:ilvl w:val="0"/>
          <w:numId w:val="9"/>
        </w:numPr>
        <w:spacing w:after="160" w:line="256" w:lineRule="auto"/>
        <w:rPr>
          <w:rFonts w:ascii="Verdana" w:hAnsi="Verdana"/>
          <w:sz w:val="21"/>
          <w:szCs w:val="21"/>
        </w:rPr>
      </w:pPr>
      <w:r w:rsidRPr="008B0D61">
        <w:rPr>
          <w:rFonts w:ascii="Verdana" w:hAnsi="Verdana"/>
          <w:sz w:val="21"/>
          <w:szCs w:val="21"/>
        </w:rPr>
        <w:t>Pricing structure for each line of business (LOB) your network would like to offer:</w:t>
      </w:r>
    </w:p>
    <w:p w14:paraId="48C15981" w14:textId="77777777" w:rsidR="008B0D61" w:rsidRPr="008B0D61" w:rsidRDefault="008B0D61" w:rsidP="008B0D61">
      <w:pPr>
        <w:pStyle w:val="ListParagraph"/>
        <w:numPr>
          <w:ilvl w:val="1"/>
          <w:numId w:val="9"/>
        </w:numPr>
        <w:spacing w:after="160" w:line="256" w:lineRule="auto"/>
        <w:rPr>
          <w:rFonts w:ascii="Verdana" w:hAnsi="Verdana"/>
          <w:sz w:val="21"/>
          <w:szCs w:val="21"/>
        </w:rPr>
      </w:pPr>
      <w:r w:rsidRPr="008B0D61">
        <w:rPr>
          <w:rFonts w:ascii="Verdana" w:hAnsi="Verdana"/>
          <w:sz w:val="21"/>
          <w:szCs w:val="21"/>
        </w:rPr>
        <w:t>Has your network determined its fixed costs for starting a LOB? Doing so is critical as your network develops pricing models to respond to various volume projections.</w:t>
      </w:r>
    </w:p>
    <w:p w14:paraId="3C938DF8" w14:textId="77777777" w:rsidR="008B0D61" w:rsidRPr="008B0D61" w:rsidRDefault="008B0D61" w:rsidP="008B0D61">
      <w:pPr>
        <w:pStyle w:val="ListParagraph"/>
        <w:numPr>
          <w:ilvl w:val="1"/>
          <w:numId w:val="9"/>
        </w:numPr>
        <w:spacing w:after="160" w:line="256" w:lineRule="auto"/>
        <w:rPr>
          <w:rFonts w:ascii="Verdana" w:hAnsi="Verdana"/>
          <w:sz w:val="21"/>
          <w:szCs w:val="21"/>
        </w:rPr>
      </w:pPr>
      <w:r w:rsidRPr="008B0D61">
        <w:rPr>
          <w:rFonts w:ascii="Verdana" w:hAnsi="Verdana"/>
          <w:sz w:val="21"/>
          <w:szCs w:val="21"/>
        </w:rPr>
        <w:t xml:space="preserve">What are your CBO’s actual costs? </w:t>
      </w:r>
    </w:p>
    <w:p w14:paraId="03BA3059" w14:textId="77777777" w:rsidR="008B0D61" w:rsidRPr="008B0D61" w:rsidRDefault="008B0D61" w:rsidP="008B0D61">
      <w:pPr>
        <w:pStyle w:val="ListParagraph"/>
        <w:numPr>
          <w:ilvl w:val="1"/>
          <w:numId w:val="9"/>
        </w:numPr>
        <w:spacing w:after="160" w:line="256" w:lineRule="auto"/>
        <w:rPr>
          <w:rFonts w:ascii="Verdana" w:hAnsi="Verdana"/>
          <w:sz w:val="21"/>
          <w:szCs w:val="21"/>
        </w:rPr>
      </w:pPr>
      <w:r w:rsidRPr="008B0D61">
        <w:rPr>
          <w:rFonts w:ascii="Verdana" w:hAnsi="Verdana"/>
          <w:sz w:val="21"/>
          <w:szCs w:val="21"/>
        </w:rPr>
        <w:t>Does your network have pricing for comparable services by potential competitors? If so, how competitive is your network’s pricing?</w:t>
      </w:r>
    </w:p>
    <w:p w14:paraId="18DD843A" w14:textId="77777777" w:rsidR="008B0D61" w:rsidRPr="008B0D61" w:rsidRDefault="008B0D61" w:rsidP="008B0D61">
      <w:pPr>
        <w:pStyle w:val="ListParagraph"/>
        <w:numPr>
          <w:ilvl w:val="0"/>
          <w:numId w:val="9"/>
        </w:numPr>
        <w:spacing w:after="160" w:line="256" w:lineRule="auto"/>
        <w:rPr>
          <w:rFonts w:ascii="Verdana" w:hAnsi="Verdana"/>
          <w:sz w:val="21"/>
          <w:szCs w:val="21"/>
        </w:rPr>
      </w:pPr>
      <w:r w:rsidRPr="008B0D61">
        <w:rPr>
          <w:rFonts w:ascii="Verdana" w:hAnsi="Verdana"/>
          <w:sz w:val="21"/>
          <w:szCs w:val="21"/>
        </w:rPr>
        <w:t>Capital and other start up requirements:</w:t>
      </w:r>
    </w:p>
    <w:p w14:paraId="052659E6" w14:textId="77777777" w:rsidR="008B0D61" w:rsidRPr="008B0D61" w:rsidRDefault="008B0D61" w:rsidP="008B0D61">
      <w:pPr>
        <w:pStyle w:val="ListParagraph"/>
        <w:numPr>
          <w:ilvl w:val="1"/>
          <w:numId w:val="9"/>
        </w:numPr>
        <w:spacing w:after="160" w:line="256" w:lineRule="auto"/>
        <w:rPr>
          <w:rFonts w:ascii="Verdana" w:hAnsi="Verdana"/>
          <w:sz w:val="21"/>
          <w:szCs w:val="21"/>
        </w:rPr>
      </w:pPr>
      <w:r w:rsidRPr="008B0D61">
        <w:rPr>
          <w:rFonts w:ascii="Verdana" w:hAnsi="Verdana"/>
          <w:sz w:val="21"/>
          <w:szCs w:val="21"/>
        </w:rPr>
        <w:t xml:space="preserve">What unmet capital needs does your network have in the short and long term? </w:t>
      </w:r>
    </w:p>
    <w:p w14:paraId="2B538234" w14:textId="77777777" w:rsidR="008B0D61" w:rsidRPr="008B0D61" w:rsidRDefault="008B0D61" w:rsidP="008B0D61">
      <w:pPr>
        <w:pStyle w:val="ListParagraph"/>
        <w:numPr>
          <w:ilvl w:val="1"/>
          <w:numId w:val="9"/>
        </w:numPr>
        <w:spacing w:after="160" w:line="256" w:lineRule="auto"/>
        <w:rPr>
          <w:rFonts w:ascii="Verdana" w:hAnsi="Verdana"/>
          <w:sz w:val="21"/>
          <w:szCs w:val="21"/>
        </w:rPr>
      </w:pPr>
      <w:r w:rsidRPr="008B0D61">
        <w:rPr>
          <w:rFonts w:ascii="Verdana" w:hAnsi="Verdana"/>
          <w:sz w:val="21"/>
          <w:szCs w:val="21"/>
        </w:rPr>
        <w:t>What is your network’s plan to meet those capital requirements?</w:t>
      </w:r>
    </w:p>
    <w:p w14:paraId="3DB6E0D4" w14:textId="77777777" w:rsidR="008B0D61" w:rsidRPr="008B0D61" w:rsidRDefault="008B0D61" w:rsidP="008B0D61">
      <w:pPr>
        <w:pStyle w:val="ListParagraph"/>
        <w:numPr>
          <w:ilvl w:val="0"/>
          <w:numId w:val="9"/>
        </w:numPr>
        <w:spacing w:after="160" w:line="256" w:lineRule="auto"/>
        <w:rPr>
          <w:rFonts w:ascii="Verdana" w:hAnsi="Verdana"/>
          <w:sz w:val="21"/>
          <w:szCs w:val="21"/>
        </w:rPr>
      </w:pPr>
      <w:r w:rsidRPr="008B0D61">
        <w:rPr>
          <w:rFonts w:ascii="Verdana" w:hAnsi="Verdana"/>
          <w:sz w:val="21"/>
          <w:szCs w:val="21"/>
        </w:rPr>
        <w:t>Invoicing and billing processes for contractors:</w:t>
      </w:r>
    </w:p>
    <w:p w14:paraId="2BDBF9FC" w14:textId="77777777" w:rsidR="008B0D61" w:rsidRPr="008B0D61" w:rsidRDefault="008B0D61" w:rsidP="008B0D61">
      <w:pPr>
        <w:pStyle w:val="ListParagraph"/>
        <w:numPr>
          <w:ilvl w:val="1"/>
          <w:numId w:val="9"/>
        </w:numPr>
        <w:spacing w:after="160" w:line="256" w:lineRule="auto"/>
        <w:rPr>
          <w:rFonts w:ascii="Verdana" w:hAnsi="Verdana"/>
          <w:sz w:val="21"/>
          <w:szCs w:val="21"/>
        </w:rPr>
      </w:pPr>
      <w:r w:rsidRPr="008B0D61">
        <w:rPr>
          <w:rFonts w:ascii="Verdana" w:hAnsi="Verdana"/>
          <w:sz w:val="21"/>
          <w:szCs w:val="21"/>
        </w:rPr>
        <w:t>Does your network have a standardized process for handling invoicing and payment?</w:t>
      </w:r>
    </w:p>
    <w:p w14:paraId="311211A3" w14:textId="77777777" w:rsidR="008B0D61" w:rsidRPr="008B0D61" w:rsidRDefault="008B0D61" w:rsidP="008B0D61">
      <w:pPr>
        <w:pStyle w:val="ListParagraph"/>
        <w:numPr>
          <w:ilvl w:val="1"/>
          <w:numId w:val="9"/>
        </w:numPr>
        <w:spacing w:after="160" w:line="256" w:lineRule="auto"/>
        <w:rPr>
          <w:rFonts w:ascii="Verdana" w:hAnsi="Verdana"/>
          <w:sz w:val="21"/>
          <w:szCs w:val="21"/>
        </w:rPr>
      </w:pPr>
      <w:r w:rsidRPr="008B0D61">
        <w:rPr>
          <w:rFonts w:ascii="Verdana" w:hAnsi="Verdana"/>
          <w:sz w:val="21"/>
          <w:szCs w:val="21"/>
        </w:rPr>
        <w:t>Can this process accommodate the differences between billing procedures for current programs and those you intend to propose offering to health care entities?</w:t>
      </w:r>
    </w:p>
    <w:p w14:paraId="1D3B72EF" w14:textId="77777777" w:rsidR="008B0D61" w:rsidRPr="008B0D61" w:rsidRDefault="008B0D61" w:rsidP="008B0D61">
      <w:pPr>
        <w:pStyle w:val="ListParagraph"/>
        <w:numPr>
          <w:ilvl w:val="1"/>
          <w:numId w:val="9"/>
        </w:numPr>
        <w:spacing w:after="160" w:line="256" w:lineRule="auto"/>
        <w:rPr>
          <w:rFonts w:ascii="Verdana" w:hAnsi="Verdana"/>
          <w:sz w:val="21"/>
          <w:szCs w:val="21"/>
        </w:rPr>
      </w:pPr>
      <w:r w:rsidRPr="008B0D61">
        <w:rPr>
          <w:rFonts w:ascii="Verdana" w:hAnsi="Verdana"/>
          <w:sz w:val="21"/>
          <w:szCs w:val="21"/>
        </w:rPr>
        <w:t>Does your network have a payment management system? If not, does your network need one?</w:t>
      </w:r>
    </w:p>
    <w:p w14:paraId="7912BCD4" w14:textId="454EFFDC" w:rsidR="008B0D61" w:rsidRPr="008B0D61" w:rsidRDefault="008B0D61" w:rsidP="008B0D61">
      <w:pPr>
        <w:pStyle w:val="ListParagraph"/>
        <w:numPr>
          <w:ilvl w:val="1"/>
          <w:numId w:val="9"/>
        </w:numPr>
        <w:spacing w:after="160" w:line="256" w:lineRule="auto"/>
        <w:rPr>
          <w:rFonts w:ascii="Verdana" w:hAnsi="Verdana"/>
          <w:sz w:val="21"/>
          <w:szCs w:val="21"/>
        </w:rPr>
      </w:pPr>
      <w:r w:rsidRPr="008B0D61">
        <w:rPr>
          <w:rFonts w:ascii="Verdana" w:hAnsi="Verdana"/>
          <w:sz w:val="21"/>
          <w:szCs w:val="21"/>
        </w:rPr>
        <w:t>How will your network manage its cash flow?</w:t>
      </w:r>
    </w:p>
    <w:p w14:paraId="5EE31197" w14:textId="77777777" w:rsidR="008B0D61" w:rsidRPr="008B0D61" w:rsidRDefault="008B0D61" w:rsidP="008B0D61">
      <w:pPr>
        <w:rPr>
          <w:rFonts w:ascii="Verdana" w:hAnsi="Verdana"/>
          <w:b/>
          <w:sz w:val="21"/>
          <w:szCs w:val="21"/>
        </w:rPr>
      </w:pPr>
      <w:r w:rsidRPr="008B0D61">
        <w:rPr>
          <w:rFonts w:ascii="Verdana" w:hAnsi="Verdana"/>
          <w:b/>
          <w:sz w:val="21"/>
          <w:szCs w:val="21"/>
        </w:rPr>
        <w:t>Questions to Think Through</w:t>
      </w:r>
    </w:p>
    <w:p w14:paraId="4826C25E" w14:textId="77777777" w:rsidR="008B0D61" w:rsidRPr="008B0D61" w:rsidRDefault="008B0D61" w:rsidP="008B0D61">
      <w:pPr>
        <w:pStyle w:val="ListParagraph"/>
        <w:numPr>
          <w:ilvl w:val="0"/>
          <w:numId w:val="7"/>
        </w:numPr>
        <w:spacing w:after="160" w:line="256" w:lineRule="auto"/>
        <w:rPr>
          <w:rFonts w:ascii="Verdana" w:hAnsi="Verdana"/>
          <w:bCs/>
          <w:sz w:val="21"/>
          <w:szCs w:val="21"/>
        </w:rPr>
      </w:pPr>
      <w:r w:rsidRPr="008B0D61">
        <w:rPr>
          <w:rFonts w:ascii="Verdana" w:hAnsi="Verdana"/>
          <w:bCs/>
          <w:sz w:val="21"/>
          <w:szCs w:val="21"/>
        </w:rPr>
        <w:t>Considering your responses to the questions on this worksheet, what are the two biggest challenges facing your network?</w:t>
      </w:r>
    </w:p>
    <w:p w14:paraId="11FB7B4D" w14:textId="77777777" w:rsidR="008B0D61" w:rsidRPr="008B0D61" w:rsidRDefault="008B0D61" w:rsidP="008B0D61">
      <w:pPr>
        <w:pStyle w:val="ListParagraph"/>
        <w:numPr>
          <w:ilvl w:val="0"/>
          <w:numId w:val="7"/>
        </w:numPr>
        <w:spacing w:after="160" w:line="256" w:lineRule="auto"/>
        <w:rPr>
          <w:rFonts w:ascii="Verdana" w:hAnsi="Verdana"/>
          <w:bCs/>
          <w:sz w:val="21"/>
          <w:szCs w:val="21"/>
        </w:rPr>
      </w:pPr>
      <w:r w:rsidRPr="008B0D61">
        <w:rPr>
          <w:rFonts w:ascii="Verdana" w:hAnsi="Verdana"/>
          <w:bCs/>
          <w:sz w:val="21"/>
          <w:szCs w:val="21"/>
        </w:rPr>
        <w:lastRenderedPageBreak/>
        <w:t xml:space="preserve">What are the two steps your network needs to take immediately (within the next three months) to address its challenges? </w:t>
      </w:r>
    </w:p>
    <w:p w14:paraId="77B5E2B4" w14:textId="77777777" w:rsidR="008B0D61" w:rsidRPr="008B0D61" w:rsidRDefault="008B0D61" w:rsidP="008B0D61">
      <w:pPr>
        <w:pStyle w:val="ListParagraph"/>
        <w:numPr>
          <w:ilvl w:val="0"/>
          <w:numId w:val="7"/>
        </w:numPr>
        <w:spacing w:after="160" w:line="256" w:lineRule="auto"/>
        <w:rPr>
          <w:rFonts w:ascii="Verdana" w:hAnsi="Verdana"/>
          <w:bCs/>
          <w:sz w:val="21"/>
          <w:szCs w:val="21"/>
        </w:rPr>
      </w:pPr>
      <w:r w:rsidRPr="008B0D61">
        <w:rPr>
          <w:rFonts w:ascii="Verdana" w:hAnsi="Verdana"/>
          <w:bCs/>
          <w:sz w:val="21"/>
          <w:szCs w:val="21"/>
        </w:rPr>
        <w:t>What are two steps your network needs to take over the next six to 12 months to move forward in its development?</w:t>
      </w:r>
    </w:p>
    <w:p w14:paraId="7CD4B4C9" w14:textId="77777777" w:rsidR="001836F8" w:rsidRPr="005421C9" w:rsidRDefault="001836F8" w:rsidP="00484338">
      <w:pPr>
        <w:rPr>
          <w:rFonts w:ascii="Verdana" w:hAnsi="Verdana"/>
          <w:sz w:val="21"/>
          <w:szCs w:val="21"/>
        </w:rPr>
      </w:pPr>
    </w:p>
    <w:p w14:paraId="4E957BB8" w14:textId="77777777" w:rsidR="00484338" w:rsidRDefault="00484338" w:rsidP="00484338"/>
    <w:p w14:paraId="57B81CBB" w14:textId="77777777" w:rsidR="00484338" w:rsidRDefault="00484338" w:rsidP="00484338"/>
    <w:p w14:paraId="4D33186F" w14:textId="77777777" w:rsidR="00484338" w:rsidRDefault="00484338" w:rsidP="00484338"/>
    <w:p w14:paraId="126DBD2A" w14:textId="64596E7F" w:rsidR="008A1DA3" w:rsidRPr="008C6702" w:rsidRDefault="007D5963" w:rsidP="008C6702">
      <w:pPr>
        <w:pStyle w:val="NormalWeb"/>
        <w:spacing w:line="360" w:lineRule="auto"/>
        <w:ind w:left="360"/>
        <w:jc w:val="center"/>
        <w:rPr>
          <w:rFonts w:ascii="Neutraface Text Book" w:hAnsi="Neutraface Text Book"/>
          <w:b/>
          <w:color w:val="595959" w:themeColor="text1" w:themeTint="A6"/>
          <w:u w:val="single"/>
        </w:rPr>
        <w:sectPr w:rsidR="008A1DA3" w:rsidRPr="008C6702" w:rsidSect="008A1DA3">
          <w:type w:val="continuous"/>
          <w:pgSz w:w="12240" w:h="15840"/>
          <w:pgMar w:top="2592" w:right="1440" w:bottom="1440" w:left="2016" w:header="720" w:footer="720" w:gutter="0"/>
          <w:cols w:space="720"/>
          <w:formProt w:val="0"/>
          <w:titlePg/>
          <w:docGrid w:linePitch="360"/>
        </w:sectPr>
      </w:pPr>
      <w:r w:rsidRPr="008C6702">
        <w:rPr>
          <w:rFonts w:ascii="Museo 300" w:hAnsi="Museo 300"/>
          <w:b/>
          <w:noProof/>
          <w:u w:val="single"/>
        </w:rPr>
        <w:t xml:space="preserve"> </w:t>
      </w:r>
    </w:p>
    <w:p w14:paraId="6640E5F0" w14:textId="77777777" w:rsidR="00B82515" w:rsidRPr="00B82515" w:rsidRDefault="00B82515" w:rsidP="00B82515">
      <w:pPr>
        <w:rPr>
          <w:rFonts w:ascii="Georgia" w:hAnsi="Georgia"/>
          <w:sz w:val="22"/>
          <w:szCs w:val="22"/>
        </w:rPr>
      </w:pPr>
    </w:p>
    <w:p w14:paraId="62C221A5" w14:textId="77777777" w:rsidR="00B82515" w:rsidRPr="00B82515" w:rsidRDefault="00B82515" w:rsidP="00B82515">
      <w:pPr>
        <w:rPr>
          <w:rFonts w:ascii="Georgia" w:hAnsi="Georgia"/>
          <w:sz w:val="22"/>
          <w:szCs w:val="22"/>
        </w:rPr>
      </w:pPr>
    </w:p>
    <w:p w14:paraId="4C91A1A4" w14:textId="77777777" w:rsidR="00B82515" w:rsidRPr="00B6710B" w:rsidRDefault="00B82515" w:rsidP="00B82515"/>
    <w:p w14:paraId="09F2DD3C" w14:textId="77777777" w:rsidR="00B82515" w:rsidRDefault="00B82515" w:rsidP="00B82515"/>
    <w:p w14:paraId="19205E15" w14:textId="4B0B52CD" w:rsidR="00144FD6" w:rsidRPr="00144FD6" w:rsidRDefault="00144FD6" w:rsidP="00B82515">
      <w:pPr>
        <w:pStyle w:val="NormalWeb"/>
        <w:spacing w:line="360" w:lineRule="auto"/>
        <w:rPr>
          <w:rFonts w:ascii="Neutraface Text Book" w:hAnsi="Neutraface Text Book"/>
          <w:i/>
          <w:color w:val="595959" w:themeColor="text1" w:themeTint="A6"/>
          <w:sz w:val="20"/>
          <w:szCs w:val="20"/>
        </w:rPr>
      </w:pPr>
    </w:p>
    <w:sectPr w:rsidR="00144FD6" w:rsidRPr="00144FD6" w:rsidSect="00B82515">
      <w:headerReference w:type="default" r:id="rId19"/>
      <w:footerReference w:type="default" r:id="rId2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2CBDF8" w14:textId="77777777" w:rsidR="00B06028" w:rsidRDefault="00B06028" w:rsidP="008A1DA3">
      <w:r>
        <w:separator/>
      </w:r>
    </w:p>
  </w:endnote>
  <w:endnote w:type="continuationSeparator" w:id="0">
    <w:p w14:paraId="52F84D2A" w14:textId="77777777" w:rsidR="00B06028" w:rsidRDefault="00B06028" w:rsidP="008A1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useo 300">
    <w:altName w:val="Calibri"/>
    <w:charset w:val="00"/>
    <w:family w:val="auto"/>
    <w:pitch w:val="variable"/>
    <w:sig w:usb0="A00000AF" w:usb1="4000004A" w:usb2="00000000" w:usb3="00000000" w:csb0="00000093" w:csb1="00000000"/>
  </w:font>
  <w:font w:name="Neutraface Text Book">
    <w:altName w:val="Lucida Sans Unicode"/>
    <w:charset w:val="00"/>
    <w:family w:val="auto"/>
    <w:pitch w:val="variable"/>
    <w:sig w:usb0="00000001" w:usb1="5000204A" w:usb2="00000000" w:usb3="00000000" w:csb0="0000009B" w:csb1="00000000"/>
  </w:font>
  <w:font w:name="Georgia">
    <w:panose1 w:val="020405020504050203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709A89" w14:textId="77777777" w:rsidR="00FC224A" w:rsidRDefault="00FC224A" w:rsidP="00FC224A">
    <w:pPr>
      <w:tabs>
        <w:tab w:val="center" w:pos="4680"/>
        <w:tab w:val="right" w:pos="9360"/>
      </w:tabs>
      <w:rPr>
        <w:rFonts w:ascii="Verdana" w:eastAsia="Calibri" w:hAnsi="Verdana" w:cs="Times New Roman"/>
        <w:i/>
        <w:iCs/>
        <w:sz w:val="16"/>
        <w:szCs w:val="16"/>
      </w:rPr>
    </w:pPr>
    <w:r>
      <w:rPr>
        <w:rFonts w:ascii="Verdana" w:eastAsia="Calibri" w:hAnsi="Verdana" w:cs="Times New Roman"/>
        <w:i/>
        <w:iCs/>
        <w:sz w:val="16"/>
        <w:szCs w:val="16"/>
      </w:rPr>
      <w:t>These worksheets were created for participants of the 2020 Network Operations Learning Collaborative, which was funded by the U.S. Administration for Community Living, U.S. Department of Health and Human Services through a contract with the Lewin Group. Points of view or opinions do not, therefore, necessarily represent official Administration for Community Living policy.</w:t>
    </w:r>
  </w:p>
  <w:p w14:paraId="4CEF4500" w14:textId="77777777" w:rsidR="00FC224A" w:rsidRDefault="00FC224A" w:rsidP="00E07861">
    <w:pPr>
      <w:tabs>
        <w:tab w:val="center" w:pos="4680"/>
        <w:tab w:val="right" w:pos="9360"/>
      </w:tabs>
      <w:rPr>
        <w:rFonts w:ascii="Verdana" w:eastAsia="Calibri" w:hAnsi="Verdana" w:cs="Times New Roman"/>
        <w:i/>
        <w:iCs/>
        <w:color w:val="221E1F"/>
        <w:sz w:val="16"/>
        <w:szCs w:val="16"/>
      </w:rPr>
    </w:pPr>
  </w:p>
  <w:p w14:paraId="7D1AD428" w14:textId="66184A82" w:rsidR="00B06028" w:rsidRPr="00E07861" w:rsidRDefault="00E07861" w:rsidP="00E07861">
    <w:pPr>
      <w:tabs>
        <w:tab w:val="center" w:pos="4680"/>
        <w:tab w:val="right" w:pos="9360"/>
      </w:tabs>
      <w:rPr>
        <w:rFonts w:ascii="Verdana" w:eastAsia="Calibri" w:hAnsi="Verdana" w:cs="Times New Roman"/>
        <w:sz w:val="16"/>
        <w:szCs w:val="16"/>
      </w:rPr>
    </w:pPr>
    <w:r w:rsidRPr="00E07861">
      <w:rPr>
        <w:rFonts w:ascii="Verdana" w:eastAsia="Calibri" w:hAnsi="Verdana" w:cs="Times New Roman"/>
        <w:i/>
        <w:iCs/>
        <w:color w:val="221E1F"/>
        <w:sz w:val="16"/>
        <w:szCs w:val="16"/>
      </w:rPr>
      <w:t xml:space="preserve">This publication was produced by the Aging and Disability Business Institute. Led by the National Association of Area Agencies on Aging (n4a) in partnership with the most experienced and respected organizations in the Aging and Disability Networks, the mission of the Aging and Disability Business Institute is to build and strengthen partnerships between aging and disability community-based organizations and the health care system. Funded by The John A. Hartford Foundation, The SCAN Foundation and the Administration for Community Living, the Aging and Disability Business Institute provides community-based organizations with the tools and resources to successfully adapt to a changing health care environment, enhance their organizational capacity and capitalize on emerging opportunities to diversify funding. Learn more at </w:t>
    </w:r>
    <w:r w:rsidRPr="00E07861">
      <w:rPr>
        <w:rFonts w:ascii="Verdana" w:eastAsia="Calibri" w:hAnsi="Verdana" w:cs="Calibri"/>
        <w:b/>
        <w:bCs/>
        <w:i/>
        <w:iCs/>
        <w:color w:val="005D97"/>
        <w:sz w:val="16"/>
        <w:szCs w:val="16"/>
      </w:rPr>
      <w:t>www.aginganddisabilitybusinessinstitute.org</w:t>
    </w:r>
    <w:r w:rsidRPr="00E07861">
      <w:rPr>
        <w:rFonts w:ascii="Verdana" w:eastAsia="Calibri" w:hAnsi="Verdana" w:cs="Times New Roman"/>
        <w:i/>
        <w:iCs/>
        <w:color w:val="221E1F"/>
        <w:sz w:val="16"/>
        <w:szCs w:val="16"/>
      </w:rPr>
      <w:t>.</w:t>
    </w:r>
  </w:p>
  <w:p w14:paraId="7DBF8D70" w14:textId="77777777" w:rsidR="00A94B32" w:rsidRDefault="00A94B32"/>
  <w:p w14:paraId="62730551" w14:textId="77777777" w:rsidR="00A94B32" w:rsidRDefault="00A94B3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58952826"/>
      <w:docPartObj>
        <w:docPartGallery w:val="Page Numbers (Bottom of Page)"/>
        <w:docPartUnique/>
      </w:docPartObj>
    </w:sdtPr>
    <w:sdtEndPr>
      <w:rPr>
        <w:noProof/>
      </w:rPr>
    </w:sdtEndPr>
    <w:sdtContent>
      <w:p w14:paraId="44C94401" w14:textId="77777777" w:rsidR="00B06028" w:rsidRDefault="00B06028">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7842AC1B" w14:textId="77777777" w:rsidR="00B06028" w:rsidRDefault="00B060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92B24C" w14:textId="77777777" w:rsidR="00B06028" w:rsidRDefault="00B06028" w:rsidP="008A1DA3">
      <w:r>
        <w:separator/>
      </w:r>
    </w:p>
  </w:footnote>
  <w:footnote w:type="continuationSeparator" w:id="0">
    <w:p w14:paraId="48C406D2" w14:textId="77777777" w:rsidR="00B06028" w:rsidRDefault="00B06028" w:rsidP="008A1D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E932AA" w14:textId="77777777" w:rsidR="00B06028" w:rsidRDefault="00FC224A">
    <w:pPr>
      <w:pStyle w:val="Header"/>
    </w:pPr>
    <w:r>
      <w:rPr>
        <w:noProof/>
      </w:rPr>
      <w:pict w14:anchorId="2E6F63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611.05pt;height:11in;z-index:-251654144;mso-wrap-edited:f;mso-position-horizontal:center;mso-position-horizontal-relative:margin;mso-position-vertical:center;mso-position-vertical-relative:margin" wrapcoords="-27 0 -27 21580 21600 21580 21600 0 -27 0">
          <v:imagedata r:id="rId1" o:title="BorderGraphic"/>
          <w10:wrap anchorx="margin" anchory="margin"/>
        </v:shape>
      </w:pict>
    </w:r>
  </w:p>
  <w:p w14:paraId="01E97009" w14:textId="77777777" w:rsidR="00A94B32" w:rsidRDefault="00A94B32"/>
  <w:p w14:paraId="20A8E4FD" w14:textId="77777777" w:rsidR="00A94B32" w:rsidRDefault="00A94B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D9ABEE" w14:textId="77777777" w:rsidR="00B06028" w:rsidRDefault="00FC224A">
    <w:pPr>
      <w:pStyle w:val="Header"/>
    </w:pPr>
    <w:r>
      <w:rPr>
        <w:noProof/>
      </w:rPr>
      <w:pict w14:anchorId="02408B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2" type="#_x0000_t75" style="position:absolute;margin-left:-105.75pt;margin-top:-130.45pt;width:611.05pt;height:850.65pt;z-index:-251655168;mso-wrap-edited:f;mso-position-horizontal-relative:margin;mso-position-vertical-relative:margin" wrapcoords="-27 0 -27 21580 21600 21580 21600 0 -27 0">
          <v:imagedata r:id="rId1" o:title="BorderGraphic"/>
          <w10:wrap anchorx="margin" anchory="margin"/>
        </v:shape>
      </w:pict>
    </w:r>
  </w:p>
  <w:p w14:paraId="380817D4" w14:textId="77777777" w:rsidR="00A94B32" w:rsidRDefault="00A94B32"/>
  <w:p w14:paraId="463E1D4A" w14:textId="77777777" w:rsidR="00A94B32" w:rsidRDefault="00A94B3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A2A01D" w14:textId="228459AC" w:rsidR="00B06028" w:rsidRDefault="00B06028">
    <w:pPr>
      <w:pStyle w:val="Header"/>
    </w:pPr>
    <w:r w:rsidRPr="008C6702">
      <w:rPr>
        <w:noProof/>
        <w:u w:val="single"/>
      </w:rPr>
      <w:drawing>
        <wp:anchor distT="0" distB="0" distL="114300" distR="114300" simplePos="0" relativeHeight="251665408" behindDoc="0" locked="0" layoutInCell="1" allowOverlap="1" wp14:anchorId="4A70F0E7" wp14:editId="5EDD6242">
          <wp:simplePos x="0" y="0"/>
          <wp:positionH relativeFrom="column">
            <wp:posOffset>1322070</wp:posOffset>
          </wp:positionH>
          <wp:positionV relativeFrom="paragraph">
            <wp:posOffset>-191770</wp:posOffset>
          </wp:positionV>
          <wp:extent cx="2966085" cy="103124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ging Disability Business Institute Logo_CMYK.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66085" cy="1031240"/>
                  </a:xfrm>
                  <a:prstGeom prst="rect">
                    <a:avLst/>
                  </a:prstGeom>
                </pic:spPr>
              </pic:pic>
            </a:graphicData>
          </a:graphic>
          <wp14:sizeRelH relativeFrom="page">
            <wp14:pctWidth>0</wp14:pctWidth>
          </wp14:sizeRelH>
          <wp14:sizeRelV relativeFrom="page">
            <wp14:pctHeight>0</wp14:pctHeight>
          </wp14:sizeRelV>
        </wp:anchor>
      </w:drawing>
    </w:r>
    <w:r w:rsidR="00FC224A">
      <w:rPr>
        <w:noProof/>
      </w:rPr>
      <w:pict w14:anchorId="60B367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103.85pt;margin-top:-129.4pt;width:611.05pt;height:11in;z-index:-251653120;mso-wrap-edited:f;mso-position-horizontal-relative:margin;mso-position-vertical-relative:margin" wrapcoords="-27 0 -27 21580 21600 21580 21600 0 -27 0">
          <v:imagedata r:id="rId2" o:title="BorderGraphic"/>
          <w10:wrap anchorx="margin" anchory="margin"/>
        </v:shape>
      </w:pict>
    </w:r>
  </w:p>
  <w:p w14:paraId="623F1620" w14:textId="77777777" w:rsidR="00A94B32" w:rsidRDefault="00A94B32"/>
  <w:p w14:paraId="70CE192A" w14:textId="77777777" w:rsidR="00A94B32" w:rsidRDefault="00A94B3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1DF34E" w14:textId="28D2532A" w:rsidR="00B06028" w:rsidRDefault="00B06028">
    <w:pPr>
      <w:pStyle w:val="Header"/>
    </w:pPr>
    <w:r>
      <w:rPr>
        <w:noProof/>
      </w:rPr>
      <w:t xml:space="preserve">                             </w:t>
    </w:r>
    <w:r w:rsidRPr="00D25CCB">
      <w:rPr>
        <w:rFonts w:ascii="Georgia" w:hAnsi="Georgia"/>
        <w:sz w:val="28"/>
        <w:szCs w:val="28"/>
      </w:rPr>
      <w:t xml:space="preserve"> The John A. Hartford Site Visit Attendees List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8128A2"/>
    <w:multiLevelType w:val="hybridMultilevel"/>
    <w:tmpl w:val="1F14977E"/>
    <w:lvl w:ilvl="0" w:tplc="9A7AC60E">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880244"/>
    <w:multiLevelType w:val="hybridMultilevel"/>
    <w:tmpl w:val="55284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2B0C25AD"/>
    <w:multiLevelType w:val="hybridMultilevel"/>
    <w:tmpl w:val="0B46B6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FF0650"/>
    <w:multiLevelType w:val="hybridMultilevel"/>
    <w:tmpl w:val="B02039A6"/>
    <w:lvl w:ilvl="0" w:tplc="9A7AC60E">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455067"/>
    <w:multiLevelType w:val="hybridMultilevel"/>
    <w:tmpl w:val="CC02F6D0"/>
    <w:lvl w:ilvl="0" w:tplc="9A7AC60E">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7F2514"/>
    <w:multiLevelType w:val="hybridMultilevel"/>
    <w:tmpl w:val="5E66C748"/>
    <w:lvl w:ilvl="0" w:tplc="9A7AC60E">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AA1172"/>
    <w:multiLevelType w:val="hybridMultilevel"/>
    <w:tmpl w:val="3970D644"/>
    <w:lvl w:ilvl="0" w:tplc="9A7AC60E">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C273D7"/>
    <w:multiLevelType w:val="hybridMultilevel"/>
    <w:tmpl w:val="848A23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C6F7033"/>
    <w:multiLevelType w:val="hybridMultilevel"/>
    <w:tmpl w:val="9BACAB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6"/>
  </w:num>
  <w:num w:numId="5">
    <w:abstractNumId w:val="4"/>
  </w:num>
  <w:num w:numId="6">
    <w:abstractNumId w:val="8"/>
  </w:num>
  <w:num w:numId="7">
    <w:abstractNumId w:val="1"/>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5jR2g2/Fo3ZbgH4uuinM/6FclshozHTF1JbkmaowK3JCVivqDESqeivtdE3qy9SD/1CxNUbkDUPwv6V4vFqq3g==" w:salt="GEBK0sOLIlfahHIyDR4k4Q=="/>
  <w:defaultTabStop w:val="720"/>
  <w:drawingGridHorizontalSpacing w:val="120"/>
  <w:displayHorizontalDrawingGridEvery w:val="2"/>
  <w:displayVertic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DA3"/>
    <w:rsid w:val="00144FD6"/>
    <w:rsid w:val="001836F8"/>
    <w:rsid w:val="002A3A43"/>
    <w:rsid w:val="00330212"/>
    <w:rsid w:val="003A33B4"/>
    <w:rsid w:val="00412275"/>
    <w:rsid w:val="004137A1"/>
    <w:rsid w:val="0047000B"/>
    <w:rsid w:val="00484338"/>
    <w:rsid w:val="004E3358"/>
    <w:rsid w:val="005421C9"/>
    <w:rsid w:val="00605BCB"/>
    <w:rsid w:val="00744DA4"/>
    <w:rsid w:val="007D5963"/>
    <w:rsid w:val="00842B13"/>
    <w:rsid w:val="008A1DA3"/>
    <w:rsid w:val="008B0D61"/>
    <w:rsid w:val="008C160F"/>
    <w:rsid w:val="008C6702"/>
    <w:rsid w:val="00906C32"/>
    <w:rsid w:val="00906DC6"/>
    <w:rsid w:val="00A0467F"/>
    <w:rsid w:val="00A544B5"/>
    <w:rsid w:val="00A54B1D"/>
    <w:rsid w:val="00A94B32"/>
    <w:rsid w:val="00B06028"/>
    <w:rsid w:val="00B82515"/>
    <w:rsid w:val="00C33061"/>
    <w:rsid w:val="00CD5B4F"/>
    <w:rsid w:val="00D85CF7"/>
    <w:rsid w:val="00DD1607"/>
    <w:rsid w:val="00E07861"/>
    <w:rsid w:val="00F528FA"/>
    <w:rsid w:val="00F90076"/>
    <w:rsid w:val="00FC224A"/>
    <w:rsid w:val="00FF60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31516334"/>
  <w14:defaultImageDpi w14:val="32767"/>
  <w15:docId w15:val="{9380111C-B821-4C61-9C85-D8F5E2861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DA3"/>
  </w:style>
  <w:style w:type="paragraph" w:styleId="Heading2">
    <w:name w:val="heading 2"/>
    <w:basedOn w:val="Normal"/>
    <w:next w:val="Normal"/>
    <w:link w:val="Heading2Char"/>
    <w:uiPriority w:val="9"/>
    <w:unhideWhenUsed/>
    <w:qFormat/>
    <w:rsid w:val="008B0D61"/>
    <w:pPr>
      <w:keepNext/>
      <w:keepLines/>
      <w:spacing w:before="40" w:line="259"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A1DA3"/>
    <w:pPr>
      <w:spacing w:before="100" w:beforeAutospacing="1" w:after="100" w:afterAutospacing="1"/>
    </w:pPr>
    <w:rPr>
      <w:rFonts w:ascii="Times New Roman" w:hAnsi="Times New Roman" w:cs="Times New Roman"/>
    </w:rPr>
  </w:style>
  <w:style w:type="paragraph" w:styleId="Header">
    <w:name w:val="header"/>
    <w:basedOn w:val="Normal"/>
    <w:link w:val="HeaderChar"/>
    <w:uiPriority w:val="99"/>
    <w:unhideWhenUsed/>
    <w:rsid w:val="008A1DA3"/>
    <w:pPr>
      <w:tabs>
        <w:tab w:val="center" w:pos="4680"/>
        <w:tab w:val="right" w:pos="9360"/>
      </w:tabs>
    </w:pPr>
  </w:style>
  <w:style w:type="character" w:customStyle="1" w:styleId="HeaderChar">
    <w:name w:val="Header Char"/>
    <w:basedOn w:val="DefaultParagraphFont"/>
    <w:link w:val="Header"/>
    <w:uiPriority w:val="99"/>
    <w:rsid w:val="008A1DA3"/>
  </w:style>
  <w:style w:type="paragraph" w:styleId="Footer">
    <w:name w:val="footer"/>
    <w:basedOn w:val="Normal"/>
    <w:link w:val="FooterChar"/>
    <w:uiPriority w:val="99"/>
    <w:unhideWhenUsed/>
    <w:rsid w:val="008A1DA3"/>
    <w:pPr>
      <w:tabs>
        <w:tab w:val="center" w:pos="4680"/>
        <w:tab w:val="right" w:pos="9360"/>
      </w:tabs>
    </w:pPr>
  </w:style>
  <w:style w:type="character" w:customStyle="1" w:styleId="FooterChar">
    <w:name w:val="Footer Char"/>
    <w:basedOn w:val="DefaultParagraphFont"/>
    <w:link w:val="Footer"/>
    <w:uiPriority w:val="99"/>
    <w:rsid w:val="008A1DA3"/>
  </w:style>
  <w:style w:type="paragraph" w:styleId="PlainText">
    <w:name w:val="Plain Text"/>
    <w:basedOn w:val="Normal"/>
    <w:link w:val="PlainTextChar"/>
    <w:uiPriority w:val="99"/>
    <w:unhideWhenUsed/>
    <w:rsid w:val="00B82515"/>
    <w:rPr>
      <w:rFonts w:ascii="Calibri" w:hAnsi="Calibri" w:cs="Consolas"/>
      <w:szCs w:val="21"/>
    </w:rPr>
  </w:style>
  <w:style w:type="character" w:customStyle="1" w:styleId="PlainTextChar">
    <w:name w:val="Plain Text Char"/>
    <w:basedOn w:val="DefaultParagraphFont"/>
    <w:link w:val="PlainText"/>
    <w:uiPriority w:val="99"/>
    <w:rsid w:val="00B82515"/>
    <w:rPr>
      <w:rFonts w:ascii="Calibri" w:hAnsi="Calibri" w:cs="Consolas"/>
      <w:szCs w:val="21"/>
    </w:rPr>
  </w:style>
  <w:style w:type="paragraph" w:styleId="BalloonText">
    <w:name w:val="Balloon Text"/>
    <w:basedOn w:val="Normal"/>
    <w:link w:val="BalloonTextChar"/>
    <w:uiPriority w:val="99"/>
    <w:semiHidden/>
    <w:unhideWhenUsed/>
    <w:rsid w:val="00B82515"/>
    <w:rPr>
      <w:rFonts w:ascii="Tahoma" w:hAnsi="Tahoma" w:cs="Tahoma"/>
      <w:sz w:val="16"/>
      <w:szCs w:val="16"/>
    </w:rPr>
  </w:style>
  <w:style w:type="character" w:customStyle="1" w:styleId="BalloonTextChar">
    <w:name w:val="Balloon Text Char"/>
    <w:basedOn w:val="DefaultParagraphFont"/>
    <w:link w:val="BalloonText"/>
    <w:uiPriority w:val="99"/>
    <w:semiHidden/>
    <w:rsid w:val="00B82515"/>
    <w:rPr>
      <w:rFonts w:ascii="Tahoma" w:hAnsi="Tahoma" w:cs="Tahoma"/>
      <w:sz w:val="16"/>
      <w:szCs w:val="16"/>
    </w:rPr>
  </w:style>
  <w:style w:type="paragraph" w:styleId="ListParagraph">
    <w:name w:val="List Paragraph"/>
    <w:basedOn w:val="Normal"/>
    <w:uiPriority w:val="34"/>
    <w:qFormat/>
    <w:rsid w:val="00484338"/>
    <w:pPr>
      <w:ind w:left="720"/>
      <w:contextualSpacing/>
    </w:pPr>
    <w:rPr>
      <w:sz w:val="22"/>
      <w:szCs w:val="22"/>
    </w:rPr>
  </w:style>
  <w:style w:type="table" w:customStyle="1" w:styleId="GridTable31">
    <w:name w:val="Grid Table 31"/>
    <w:basedOn w:val="TableNormal"/>
    <w:next w:val="GridTable3"/>
    <w:uiPriority w:val="48"/>
    <w:rsid w:val="00FF60EE"/>
    <w:rPr>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
    <w:name w:val="Grid Table 3"/>
    <w:basedOn w:val="TableNormal"/>
    <w:uiPriority w:val="99"/>
    <w:rsid w:val="00FF60E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Heading2Char">
    <w:name w:val="Heading 2 Char"/>
    <w:basedOn w:val="DefaultParagraphFont"/>
    <w:link w:val="Heading2"/>
    <w:uiPriority w:val="9"/>
    <w:rsid w:val="008B0D61"/>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8B0D6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9518546">
      <w:bodyDiv w:val="1"/>
      <w:marLeft w:val="0"/>
      <w:marRight w:val="0"/>
      <w:marTop w:val="0"/>
      <w:marBottom w:val="0"/>
      <w:divBdr>
        <w:top w:val="none" w:sz="0" w:space="0" w:color="auto"/>
        <w:left w:val="none" w:sz="0" w:space="0" w:color="auto"/>
        <w:bottom w:val="none" w:sz="0" w:space="0" w:color="auto"/>
        <w:right w:val="none" w:sz="0" w:space="0" w:color="auto"/>
      </w:divBdr>
    </w:div>
    <w:div w:id="14819667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aginganddisabilitybusinessinstitute.org/assessment-tools/" TargetMode="External"/><Relationship Id="rId18" Type="http://schemas.openxmlformats.org/officeDocument/2006/relationships/hyperlink" Target="https://www.thescanfoundation.org/resources-tool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aginganddisabilitybusinessinstitute.org/resources/roi-calculator-for-social-service-partnerships/" TargetMode="External"/><Relationship Id="rId17" Type="http://schemas.openxmlformats.org/officeDocument/2006/relationships/hyperlink" Target="https://www.aginganddisabilitybusinessinstitute.org/resources/pricing-guide-resource-community-based-organizations-value-price-services/" TargetMode="External"/><Relationship Id="rId2" Type="http://schemas.openxmlformats.org/officeDocument/2006/relationships/numbering" Target="numbering.xml"/><Relationship Id="rId16" Type="http://schemas.openxmlformats.org/officeDocument/2006/relationships/hyperlink" Target="https://www.aginganddisabilitybusinessinstitute.org/assessment-tools/network-readiness-assessmen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aginganddisabilitybusinessinstitute.org/assessment-tools/competitor-analysis/" TargetMode="Externa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aginganddisabilitybusinessinstitute.org/assessment-tools/opportunity-assessment/"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29EDA-10B6-42CA-8037-C5191E484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484</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Rory Daly</cp:lastModifiedBy>
  <cp:revision>4</cp:revision>
  <cp:lastPrinted>2017-04-17T17:32:00Z</cp:lastPrinted>
  <dcterms:created xsi:type="dcterms:W3CDTF">2021-03-03T16:23:00Z</dcterms:created>
  <dcterms:modified xsi:type="dcterms:W3CDTF">2021-03-04T17:44:00Z</dcterms:modified>
</cp:coreProperties>
</file>