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69EC27" w14:textId="1057F598" w:rsidR="00484338" w:rsidRDefault="00484338" w:rsidP="00A46A12"/>
    <w:p w14:paraId="5D48D219" w14:textId="77777777" w:rsidR="002343CB" w:rsidRDefault="002343CB" w:rsidP="00A46A12">
      <w:pPr>
        <w:pStyle w:val="Heading2"/>
        <w:spacing w:before="0"/>
        <w:jc w:val="center"/>
        <w:rPr>
          <w:rFonts w:ascii="Verdana" w:hAnsi="Verdana"/>
        </w:rPr>
        <w:sectPr w:rsidR="002343CB" w:rsidSect="008A1DA3">
          <w:headerReference w:type="even" r:id="rId8"/>
          <w:headerReference w:type="default" r:id="rId9"/>
          <w:footerReference w:type="default" r:id="rId10"/>
          <w:headerReference w:type="first" r:id="rId11"/>
          <w:footerReference w:type="first" r:id="rId12"/>
          <w:type w:val="continuous"/>
          <w:pgSz w:w="12240" w:h="15840"/>
          <w:pgMar w:top="2592" w:right="1440" w:bottom="1440" w:left="2016" w:header="720" w:footer="720" w:gutter="0"/>
          <w:cols w:space="720"/>
          <w:titlePg/>
          <w:docGrid w:linePitch="360"/>
        </w:sectPr>
      </w:pPr>
    </w:p>
    <w:p w14:paraId="0501063E" w14:textId="77777777" w:rsidR="00DF2E07" w:rsidRPr="00DF2E07" w:rsidRDefault="00DF2E07" w:rsidP="00DF2E07">
      <w:pPr>
        <w:pStyle w:val="Heading2"/>
        <w:jc w:val="center"/>
        <w:rPr>
          <w:rFonts w:ascii="Verdana" w:hAnsi="Verdana"/>
        </w:rPr>
      </w:pPr>
      <w:r w:rsidRPr="00DF2E07">
        <w:rPr>
          <w:rFonts w:ascii="Verdana" w:hAnsi="Verdana"/>
        </w:rPr>
        <w:t>Information Technology and Compliance</w:t>
      </w:r>
    </w:p>
    <w:p w14:paraId="13592EED" w14:textId="77777777" w:rsidR="00DF2E07" w:rsidRPr="00DF2E07" w:rsidRDefault="00DF2E07" w:rsidP="00DF2E07">
      <w:pPr>
        <w:rPr>
          <w:rFonts w:ascii="Verdana" w:hAnsi="Verdana"/>
        </w:rPr>
      </w:pPr>
    </w:p>
    <w:p w14:paraId="5F69E8A0" w14:textId="77777777" w:rsidR="00DF2E07" w:rsidRPr="00DF2E07" w:rsidRDefault="00DF2E07" w:rsidP="00DF2E07">
      <w:pPr>
        <w:rPr>
          <w:rFonts w:ascii="Verdana" w:hAnsi="Verdana"/>
          <w:color w:val="FFFFFF" w:themeColor="background1"/>
          <w:sz w:val="21"/>
          <w:szCs w:val="21"/>
        </w:rPr>
      </w:pPr>
      <w:r w:rsidRPr="00DF2E07">
        <w:rPr>
          <w:rFonts w:ascii="Verdana" w:hAnsi="Verdana"/>
          <w:sz w:val="21"/>
          <w:szCs w:val="21"/>
          <w:shd w:val="clear" w:color="auto" w:fill="FFFFFF"/>
        </w:rPr>
        <w:t xml:space="preserve">Networks must have established, well-defined administrative and compliance processes and infrastructure including information technology (IT) systems. This ensures that they can meet the contractual requirements and performance expectations of health care partners, while providing a necessary level of network member assistance and oversight. In this worksheet you will answer questions related to your network’s administrative and compliance processes, procedures, </w:t>
      </w:r>
      <w:proofErr w:type="gramStart"/>
      <w:r w:rsidRPr="00DF2E07">
        <w:rPr>
          <w:rFonts w:ascii="Verdana" w:hAnsi="Verdana"/>
          <w:sz w:val="21"/>
          <w:szCs w:val="21"/>
          <w:shd w:val="clear" w:color="auto" w:fill="FFFFFF"/>
        </w:rPr>
        <w:t>policies</w:t>
      </w:r>
      <w:proofErr w:type="gramEnd"/>
      <w:r w:rsidRPr="00DF2E07">
        <w:rPr>
          <w:rFonts w:ascii="Verdana" w:hAnsi="Verdana"/>
          <w:sz w:val="21"/>
          <w:szCs w:val="21"/>
          <w:shd w:val="clear" w:color="auto" w:fill="FFFFFF"/>
        </w:rPr>
        <w:t xml:space="preserve"> and systems. Resources to help you in this section include this Aging and Disability Business Institute webinar, </w:t>
      </w:r>
      <w:hyperlink r:id="rId13" w:history="1">
        <w:r w:rsidRPr="00DF2E07">
          <w:rPr>
            <w:rStyle w:val="Hyperlink"/>
            <w:rFonts w:ascii="Verdana" w:hAnsi="Verdana"/>
            <w:sz w:val="21"/>
            <w:szCs w:val="21"/>
          </w:rPr>
          <w:t>HIPAA &amp; HITECH Compliance for CBO-Health Care Partnerships</w:t>
        </w:r>
      </w:hyperlink>
      <w:r w:rsidRPr="00DF2E07">
        <w:rPr>
          <w:rStyle w:val="Hyperlink"/>
          <w:rFonts w:ascii="Verdana" w:hAnsi="Verdana"/>
          <w:sz w:val="21"/>
          <w:szCs w:val="21"/>
        </w:rPr>
        <w:t>,</w:t>
      </w:r>
      <w:r w:rsidRPr="00DF2E07">
        <w:rPr>
          <w:rFonts w:ascii="Verdana" w:hAnsi="Verdana"/>
          <w:sz w:val="21"/>
          <w:szCs w:val="21"/>
        </w:rPr>
        <w:t xml:space="preserve"> and the Aging and Disability Business Institute’s </w:t>
      </w:r>
      <w:hyperlink r:id="rId14" w:history="1">
        <w:r w:rsidRPr="00DF2E07">
          <w:rPr>
            <w:rStyle w:val="Hyperlink"/>
            <w:rFonts w:ascii="Verdana" w:hAnsi="Verdana"/>
            <w:sz w:val="21"/>
            <w:szCs w:val="21"/>
          </w:rPr>
          <w:t>IT Vendor Selection Tool</w:t>
        </w:r>
      </w:hyperlink>
      <w:r w:rsidRPr="00DF2E07">
        <w:rPr>
          <w:rFonts w:ascii="Verdana" w:hAnsi="Verdana"/>
          <w:sz w:val="21"/>
          <w:szCs w:val="21"/>
        </w:rPr>
        <w:t>.</w:t>
      </w:r>
    </w:p>
    <w:p w14:paraId="7D0E3A9B" w14:textId="77777777" w:rsidR="00DF2E07" w:rsidRPr="00DF2E07" w:rsidRDefault="00DF2E07" w:rsidP="00DF2E07">
      <w:pPr>
        <w:rPr>
          <w:rFonts w:ascii="Verdana" w:hAnsi="Verdana"/>
          <w:b/>
          <w:sz w:val="21"/>
          <w:szCs w:val="21"/>
        </w:rPr>
      </w:pPr>
    </w:p>
    <w:p w14:paraId="25EB4F83" w14:textId="77777777" w:rsidR="00DF2E07" w:rsidRPr="00DF2E07" w:rsidRDefault="00DF2E07" w:rsidP="00DF2E07">
      <w:pPr>
        <w:rPr>
          <w:rFonts w:ascii="Verdana" w:hAnsi="Verdana"/>
          <w:b/>
          <w:sz w:val="21"/>
          <w:szCs w:val="21"/>
        </w:rPr>
      </w:pPr>
      <w:r w:rsidRPr="00DF2E07">
        <w:rPr>
          <w:rFonts w:ascii="Verdana" w:hAnsi="Verdana"/>
          <w:b/>
          <w:sz w:val="21"/>
          <w:szCs w:val="21"/>
        </w:rPr>
        <w:t xml:space="preserve">Questions to consider: </w:t>
      </w:r>
    </w:p>
    <w:p w14:paraId="4F560A2A" w14:textId="77777777" w:rsidR="00DF2E07" w:rsidRPr="00DF2E07" w:rsidRDefault="00DF2E07" w:rsidP="00DF2E07">
      <w:pPr>
        <w:pStyle w:val="ListParagraph"/>
        <w:numPr>
          <w:ilvl w:val="0"/>
          <w:numId w:val="8"/>
        </w:numPr>
        <w:spacing w:after="160" w:line="256" w:lineRule="auto"/>
        <w:rPr>
          <w:rFonts w:ascii="Verdana" w:hAnsi="Verdana"/>
          <w:bCs/>
          <w:sz w:val="21"/>
          <w:szCs w:val="21"/>
        </w:rPr>
      </w:pPr>
      <w:r w:rsidRPr="00DF2E07">
        <w:rPr>
          <w:rFonts w:ascii="Verdana" w:hAnsi="Verdana"/>
          <w:bCs/>
          <w:sz w:val="21"/>
          <w:szCs w:val="21"/>
        </w:rPr>
        <w:t>Which IT systems are members of your network using?</w:t>
      </w:r>
    </w:p>
    <w:p w14:paraId="32D0C23A" w14:textId="77777777" w:rsidR="00DF2E07" w:rsidRPr="00DF2E07" w:rsidRDefault="00DF2E07" w:rsidP="00DF2E07">
      <w:pPr>
        <w:pStyle w:val="ListParagraph"/>
        <w:numPr>
          <w:ilvl w:val="0"/>
          <w:numId w:val="8"/>
        </w:numPr>
        <w:spacing w:after="160" w:line="256" w:lineRule="auto"/>
        <w:rPr>
          <w:rFonts w:ascii="Verdana" w:hAnsi="Verdana"/>
          <w:bCs/>
          <w:sz w:val="21"/>
          <w:szCs w:val="21"/>
        </w:rPr>
      </w:pPr>
      <w:r w:rsidRPr="00DF2E07">
        <w:rPr>
          <w:rFonts w:ascii="Verdana" w:hAnsi="Verdana"/>
          <w:bCs/>
          <w:sz w:val="21"/>
          <w:szCs w:val="21"/>
        </w:rPr>
        <w:t xml:space="preserve">What IT needs has your network identified? </w:t>
      </w:r>
    </w:p>
    <w:p w14:paraId="0DB8042A" w14:textId="77777777" w:rsidR="00DF2E07" w:rsidRPr="00DF2E07" w:rsidRDefault="00DF2E07" w:rsidP="00DF2E07">
      <w:pPr>
        <w:pStyle w:val="ListParagraph"/>
        <w:numPr>
          <w:ilvl w:val="0"/>
          <w:numId w:val="8"/>
        </w:numPr>
        <w:spacing w:after="160" w:line="256" w:lineRule="auto"/>
        <w:rPr>
          <w:rFonts w:ascii="Verdana" w:hAnsi="Verdana"/>
          <w:bCs/>
          <w:sz w:val="21"/>
          <w:szCs w:val="21"/>
        </w:rPr>
      </w:pPr>
      <w:r w:rsidRPr="00DF2E07">
        <w:rPr>
          <w:rFonts w:ascii="Verdana" w:hAnsi="Verdana"/>
          <w:bCs/>
          <w:sz w:val="21"/>
          <w:szCs w:val="21"/>
        </w:rPr>
        <w:t xml:space="preserve">If your network </w:t>
      </w:r>
      <w:proofErr w:type="gramStart"/>
      <w:r w:rsidRPr="00DF2E07">
        <w:rPr>
          <w:rFonts w:ascii="Verdana" w:hAnsi="Verdana"/>
          <w:bCs/>
          <w:sz w:val="21"/>
          <w:szCs w:val="21"/>
        </w:rPr>
        <w:t>doesn’t</w:t>
      </w:r>
      <w:proofErr w:type="gramEnd"/>
      <w:r w:rsidRPr="00DF2E07">
        <w:rPr>
          <w:rFonts w:ascii="Verdana" w:hAnsi="Verdana"/>
          <w:bCs/>
          <w:sz w:val="21"/>
          <w:szCs w:val="21"/>
        </w:rPr>
        <w:t xml:space="preserve"> have an IT system currently, what features will it need to support its data collection and reporting needs? </w:t>
      </w:r>
    </w:p>
    <w:p w14:paraId="6784719C" w14:textId="77777777" w:rsidR="00DF2E07" w:rsidRPr="00DF2E07" w:rsidRDefault="00DF2E07" w:rsidP="00DF2E07">
      <w:pPr>
        <w:pStyle w:val="ListParagraph"/>
        <w:numPr>
          <w:ilvl w:val="0"/>
          <w:numId w:val="8"/>
        </w:numPr>
        <w:spacing w:after="160" w:line="256" w:lineRule="auto"/>
        <w:rPr>
          <w:rFonts w:ascii="Verdana" w:hAnsi="Verdana"/>
          <w:bCs/>
          <w:sz w:val="21"/>
          <w:szCs w:val="21"/>
        </w:rPr>
      </w:pPr>
      <w:r w:rsidRPr="00DF2E07">
        <w:rPr>
          <w:rFonts w:ascii="Verdana" w:hAnsi="Verdana"/>
          <w:bCs/>
          <w:sz w:val="21"/>
          <w:szCs w:val="21"/>
        </w:rPr>
        <w:t xml:space="preserve">If your network has contracts currently, consider the following: </w:t>
      </w:r>
    </w:p>
    <w:p w14:paraId="5F0749E8" w14:textId="77777777" w:rsidR="00DF2E07" w:rsidRPr="00DF2E07" w:rsidRDefault="00DF2E07" w:rsidP="00DF2E07">
      <w:pPr>
        <w:pStyle w:val="ListParagraph"/>
        <w:numPr>
          <w:ilvl w:val="1"/>
          <w:numId w:val="8"/>
        </w:numPr>
        <w:spacing w:after="160" w:line="256" w:lineRule="auto"/>
        <w:rPr>
          <w:rFonts w:ascii="Verdana" w:hAnsi="Verdana"/>
          <w:bCs/>
          <w:sz w:val="21"/>
          <w:szCs w:val="21"/>
        </w:rPr>
      </w:pPr>
      <w:r w:rsidRPr="00DF2E07">
        <w:rPr>
          <w:rFonts w:ascii="Verdana" w:hAnsi="Verdana"/>
          <w:bCs/>
          <w:sz w:val="21"/>
          <w:szCs w:val="21"/>
        </w:rPr>
        <w:t xml:space="preserve">What IT requirements is your network already required to adhere to based on contracts with its health care partners? </w:t>
      </w:r>
    </w:p>
    <w:p w14:paraId="35AB3A20" w14:textId="77777777" w:rsidR="00DF2E07" w:rsidRPr="00DF2E07" w:rsidRDefault="00DF2E07" w:rsidP="00DF2E07">
      <w:pPr>
        <w:pStyle w:val="ListParagraph"/>
        <w:numPr>
          <w:ilvl w:val="1"/>
          <w:numId w:val="8"/>
        </w:numPr>
        <w:spacing w:after="160" w:line="256" w:lineRule="auto"/>
        <w:rPr>
          <w:rFonts w:ascii="Verdana" w:hAnsi="Verdana"/>
          <w:bCs/>
          <w:sz w:val="21"/>
          <w:szCs w:val="21"/>
        </w:rPr>
      </w:pPr>
      <w:r w:rsidRPr="00DF2E07">
        <w:rPr>
          <w:rFonts w:ascii="Verdana" w:hAnsi="Verdana"/>
          <w:bCs/>
          <w:sz w:val="21"/>
          <w:szCs w:val="21"/>
        </w:rPr>
        <w:t xml:space="preserve">Is your network required to use a proprietary system from its health care partner(s)? </w:t>
      </w:r>
    </w:p>
    <w:p w14:paraId="04E1A63C" w14:textId="77777777" w:rsidR="00DF2E07" w:rsidRPr="00DF2E07" w:rsidRDefault="00DF2E07" w:rsidP="00DF2E07">
      <w:pPr>
        <w:pStyle w:val="ListParagraph"/>
        <w:numPr>
          <w:ilvl w:val="1"/>
          <w:numId w:val="8"/>
        </w:numPr>
        <w:spacing w:after="160" w:line="256" w:lineRule="auto"/>
        <w:rPr>
          <w:rFonts w:ascii="Verdana" w:hAnsi="Verdana"/>
          <w:bCs/>
          <w:sz w:val="21"/>
          <w:szCs w:val="21"/>
        </w:rPr>
      </w:pPr>
      <w:r w:rsidRPr="00DF2E07">
        <w:rPr>
          <w:rFonts w:ascii="Verdana" w:hAnsi="Verdana"/>
          <w:bCs/>
          <w:sz w:val="21"/>
          <w:szCs w:val="21"/>
        </w:rPr>
        <w:t>How do your network’s IT systems and the health care entity’s system work together? Do they work together?</w:t>
      </w:r>
    </w:p>
    <w:p w14:paraId="5FB2FFA5" w14:textId="77777777" w:rsidR="00DF2E07" w:rsidRPr="00DF2E07" w:rsidRDefault="00DF2E07" w:rsidP="00DF2E07">
      <w:pPr>
        <w:pStyle w:val="ListParagraph"/>
        <w:numPr>
          <w:ilvl w:val="0"/>
          <w:numId w:val="8"/>
        </w:numPr>
        <w:spacing w:after="160" w:line="256" w:lineRule="auto"/>
        <w:rPr>
          <w:rFonts w:ascii="Verdana" w:hAnsi="Verdana"/>
          <w:bCs/>
          <w:sz w:val="21"/>
          <w:szCs w:val="21"/>
        </w:rPr>
      </w:pPr>
      <w:r w:rsidRPr="00DF2E07">
        <w:rPr>
          <w:rFonts w:ascii="Verdana" w:hAnsi="Verdana"/>
          <w:bCs/>
          <w:sz w:val="21"/>
          <w:szCs w:val="21"/>
        </w:rPr>
        <w:t xml:space="preserve">Does your network collect a standard set of data and health outcomes? </w:t>
      </w:r>
    </w:p>
    <w:p w14:paraId="71065174" w14:textId="77777777" w:rsidR="00DF2E07" w:rsidRPr="00DF2E07" w:rsidRDefault="00DF2E07" w:rsidP="00DF2E07">
      <w:pPr>
        <w:pStyle w:val="ListParagraph"/>
        <w:numPr>
          <w:ilvl w:val="0"/>
          <w:numId w:val="8"/>
        </w:numPr>
        <w:spacing w:after="160" w:line="256" w:lineRule="auto"/>
        <w:rPr>
          <w:rFonts w:ascii="Verdana" w:hAnsi="Verdana"/>
          <w:bCs/>
          <w:sz w:val="21"/>
          <w:szCs w:val="21"/>
        </w:rPr>
      </w:pPr>
      <w:r w:rsidRPr="00DF2E07">
        <w:rPr>
          <w:rFonts w:ascii="Verdana" w:hAnsi="Verdana"/>
          <w:bCs/>
          <w:sz w:val="21"/>
          <w:szCs w:val="21"/>
        </w:rPr>
        <w:t>What valuable data is your network already collecting that would be of interest to a health care entity? For example: how often your clients are visited; how many services do they receive on average; which partners address the social determinants of health such as meals, housing, transportation, etc.?</w:t>
      </w:r>
    </w:p>
    <w:p w14:paraId="1A6FBA4A" w14:textId="77777777" w:rsidR="00DF2E07" w:rsidRPr="00DF2E07" w:rsidRDefault="00DF2E07" w:rsidP="00DF2E07">
      <w:pPr>
        <w:pStyle w:val="ListParagraph"/>
        <w:numPr>
          <w:ilvl w:val="0"/>
          <w:numId w:val="8"/>
        </w:numPr>
        <w:spacing w:after="160" w:line="256" w:lineRule="auto"/>
        <w:rPr>
          <w:rFonts w:ascii="Verdana" w:hAnsi="Verdana"/>
          <w:bCs/>
          <w:sz w:val="21"/>
          <w:szCs w:val="21"/>
        </w:rPr>
      </w:pPr>
      <w:r w:rsidRPr="00DF2E07">
        <w:rPr>
          <w:rFonts w:ascii="Verdana" w:hAnsi="Verdana"/>
          <w:bCs/>
          <w:sz w:val="21"/>
          <w:szCs w:val="21"/>
        </w:rPr>
        <w:t>What data will your network need to collect to demonstrate its impact? Is there an IT system that can help you track this data?</w:t>
      </w:r>
    </w:p>
    <w:p w14:paraId="4B4A7921" w14:textId="77777777" w:rsidR="00DF2E07" w:rsidRPr="00DF2E07" w:rsidRDefault="00DF2E07" w:rsidP="00DF2E07">
      <w:pPr>
        <w:pStyle w:val="ListParagraph"/>
        <w:numPr>
          <w:ilvl w:val="0"/>
          <w:numId w:val="8"/>
        </w:numPr>
        <w:spacing w:after="160" w:line="256" w:lineRule="auto"/>
        <w:rPr>
          <w:rFonts w:ascii="Verdana" w:hAnsi="Verdana"/>
          <w:bCs/>
          <w:sz w:val="21"/>
          <w:szCs w:val="21"/>
        </w:rPr>
      </w:pPr>
      <w:r w:rsidRPr="00DF2E07">
        <w:rPr>
          <w:rFonts w:ascii="Verdana" w:hAnsi="Verdana"/>
          <w:bCs/>
          <w:sz w:val="21"/>
          <w:szCs w:val="21"/>
        </w:rPr>
        <w:t>Has your network determined its data needs related to payer type or by program/services?</w:t>
      </w:r>
    </w:p>
    <w:p w14:paraId="0315D570" w14:textId="77777777" w:rsidR="00DF2E07" w:rsidRPr="00DF2E07" w:rsidRDefault="00DF2E07" w:rsidP="00DF2E07">
      <w:pPr>
        <w:pStyle w:val="ListParagraph"/>
        <w:numPr>
          <w:ilvl w:val="0"/>
          <w:numId w:val="8"/>
        </w:numPr>
        <w:spacing w:after="160" w:line="256" w:lineRule="auto"/>
        <w:rPr>
          <w:rFonts w:ascii="Verdana" w:hAnsi="Verdana"/>
          <w:bCs/>
          <w:sz w:val="21"/>
          <w:szCs w:val="21"/>
        </w:rPr>
      </w:pPr>
      <w:r w:rsidRPr="00DF2E07">
        <w:rPr>
          <w:rFonts w:ascii="Verdana" w:hAnsi="Verdana"/>
          <w:bCs/>
          <w:sz w:val="21"/>
          <w:szCs w:val="21"/>
        </w:rPr>
        <w:t>Has your network created data flow processes and/or designated roles for data analysis and reporting responsibilities?</w:t>
      </w:r>
    </w:p>
    <w:p w14:paraId="77A9D31F" w14:textId="77777777" w:rsidR="00DF2E07" w:rsidRPr="00DF2E07" w:rsidRDefault="00DF2E07" w:rsidP="00DF2E07">
      <w:pPr>
        <w:pStyle w:val="ListParagraph"/>
        <w:numPr>
          <w:ilvl w:val="0"/>
          <w:numId w:val="8"/>
        </w:numPr>
        <w:spacing w:after="160" w:line="256" w:lineRule="auto"/>
        <w:rPr>
          <w:rFonts w:ascii="Verdana" w:hAnsi="Verdana"/>
          <w:bCs/>
          <w:sz w:val="21"/>
          <w:szCs w:val="21"/>
        </w:rPr>
      </w:pPr>
      <w:r w:rsidRPr="00DF2E07">
        <w:rPr>
          <w:rFonts w:ascii="Verdana" w:hAnsi="Verdana"/>
          <w:bCs/>
          <w:sz w:val="21"/>
          <w:szCs w:val="21"/>
        </w:rPr>
        <w:t>Does your network require its members and downstream providers to sign attestations regarding Health Insurance Portability and Accountability Act (HIPAA) training? How do you track that they have done so?</w:t>
      </w:r>
    </w:p>
    <w:p w14:paraId="49153743" w14:textId="77777777" w:rsidR="00DF2E07" w:rsidRPr="00DF2E07" w:rsidRDefault="00DF2E07" w:rsidP="00DF2E07">
      <w:pPr>
        <w:pStyle w:val="ListParagraph"/>
        <w:numPr>
          <w:ilvl w:val="0"/>
          <w:numId w:val="8"/>
        </w:numPr>
        <w:spacing w:after="160" w:line="256" w:lineRule="auto"/>
        <w:rPr>
          <w:rFonts w:ascii="Verdana" w:hAnsi="Verdana"/>
          <w:bCs/>
          <w:sz w:val="21"/>
          <w:szCs w:val="21"/>
        </w:rPr>
      </w:pPr>
      <w:r w:rsidRPr="00DF2E07">
        <w:rPr>
          <w:rFonts w:ascii="Verdana" w:hAnsi="Verdana"/>
          <w:bCs/>
          <w:sz w:val="21"/>
          <w:szCs w:val="21"/>
        </w:rPr>
        <w:t xml:space="preserve">What steps has your network taken to ensure that information is secure? </w:t>
      </w:r>
    </w:p>
    <w:p w14:paraId="4DF5DE94" w14:textId="77777777" w:rsidR="00DF2E07" w:rsidRPr="00DF2E07" w:rsidRDefault="00DF2E07" w:rsidP="00DF2E07">
      <w:pPr>
        <w:ind w:left="360"/>
        <w:rPr>
          <w:rFonts w:ascii="Verdana" w:hAnsi="Verdana"/>
          <w:b/>
          <w:sz w:val="21"/>
          <w:szCs w:val="21"/>
        </w:rPr>
      </w:pPr>
    </w:p>
    <w:p w14:paraId="6C68BA6A" w14:textId="77777777" w:rsidR="00DF2E07" w:rsidRPr="00DF2E07" w:rsidRDefault="00DF2E07" w:rsidP="00DF2E07">
      <w:pPr>
        <w:rPr>
          <w:rFonts w:ascii="Verdana" w:hAnsi="Verdana"/>
          <w:b/>
          <w:sz w:val="21"/>
          <w:szCs w:val="21"/>
        </w:rPr>
      </w:pPr>
      <w:r w:rsidRPr="00DF2E07">
        <w:rPr>
          <w:rFonts w:ascii="Verdana" w:hAnsi="Verdana"/>
          <w:b/>
          <w:sz w:val="21"/>
          <w:szCs w:val="21"/>
        </w:rPr>
        <w:t>Questions to Think Through</w:t>
      </w:r>
    </w:p>
    <w:p w14:paraId="08C46EDF" w14:textId="77777777" w:rsidR="00DF2E07" w:rsidRPr="00DF2E07" w:rsidRDefault="00DF2E07" w:rsidP="00DF2E07">
      <w:pPr>
        <w:pStyle w:val="ListParagraph"/>
        <w:numPr>
          <w:ilvl w:val="0"/>
          <w:numId w:val="7"/>
        </w:numPr>
        <w:spacing w:after="160" w:line="256" w:lineRule="auto"/>
        <w:rPr>
          <w:rFonts w:ascii="Verdana" w:hAnsi="Verdana"/>
          <w:bCs/>
          <w:sz w:val="21"/>
          <w:szCs w:val="21"/>
        </w:rPr>
      </w:pPr>
      <w:r w:rsidRPr="00DF2E07">
        <w:rPr>
          <w:rFonts w:ascii="Verdana" w:hAnsi="Verdana"/>
          <w:bCs/>
          <w:sz w:val="21"/>
          <w:szCs w:val="21"/>
        </w:rPr>
        <w:t>Considering your responses to the questions on this worksheet, what are the two biggest challenges facing your network?</w:t>
      </w:r>
    </w:p>
    <w:p w14:paraId="4C4EB668" w14:textId="77777777" w:rsidR="00DF2E07" w:rsidRDefault="00DF2E07" w:rsidP="00DF2E07">
      <w:pPr>
        <w:pStyle w:val="ListParagraph"/>
        <w:numPr>
          <w:ilvl w:val="0"/>
          <w:numId w:val="7"/>
        </w:numPr>
        <w:spacing w:after="160" w:line="256" w:lineRule="auto"/>
        <w:rPr>
          <w:rFonts w:ascii="Verdana" w:hAnsi="Verdana"/>
          <w:bCs/>
          <w:sz w:val="21"/>
          <w:szCs w:val="21"/>
        </w:rPr>
      </w:pPr>
      <w:r w:rsidRPr="00DF2E07">
        <w:rPr>
          <w:rFonts w:ascii="Verdana" w:hAnsi="Verdana"/>
          <w:bCs/>
          <w:sz w:val="21"/>
          <w:szCs w:val="21"/>
        </w:rPr>
        <w:t xml:space="preserve">What are the two steps your network needs to take immediately (within the next three months) to address its challenges? </w:t>
      </w:r>
    </w:p>
    <w:p w14:paraId="7CD4B4C9" w14:textId="5A106FDF" w:rsidR="001B3F59" w:rsidRPr="008C6702" w:rsidRDefault="00DF2E07" w:rsidP="001B3F59">
      <w:pPr>
        <w:pStyle w:val="ListParagraph"/>
        <w:numPr>
          <w:ilvl w:val="0"/>
          <w:numId w:val="7"/>
        </w:numPr>
        <w:spacing w:after="160" w:line="256" w:lineRule="auto"/>
        <w:rPr>
          <w:rFonts w:ascii="Museo 300" w:hAnsi="Museo 300"/>
          <w:b/>
          <w:noProof/>
          <w:u w:val="single"/>
        </w:rPr>
      </w:pPr>
      <w:r w:rsidRPr="00DF2E07">
        <w:rPr>
          <w:rFonts w:ascii="Verdana" w:hAnsi="Verdana"/>
          <w:bCs/>
          <w:sz w:val="21"/>
          <w:szCs w:val="21"/>
        </w:rPr>
        <w:t>What are two steps your network needs to take over the next six to 12 months to move forward in its development?</w:t>
      </w:r>
    </w:p>
    <w:p w14:paraId="126DBD2A" w14:textId="67858C9E" w:rsidR="008A1DA3" w:rsidRPr="008C6702" w:rsidRDefault="007D5963" w:rsidP="00A46A12">
      <w:pPr>
        <w:pStyle w:val="NormalWeb"/>
        <w:spacing w:before="0" w:beforeAutospacing="0" w:line="360" w:lineRule="auto"/>
        <w:ind w:left="360"/>
        <w:jc w:val="center"/>
        <w:rPr>
          <w:rFonts w:ascii="Neutraface Text Book" w:hAnsi="Neutraface Text Book"/>
          <w:b/>
          <w:color w:val="595959" w:themeColor="text1" w:themeTint="A6"/>
          <w:u w:val="single"/>
        </w:rPr>
        <w:sectPr w:rsidR="008A1DA3" w:rsidRPr="008C6702" w:rsidSect="008A1DA3">
          <w:type w:val="continuous"/>
          <w:pgSz w:w="12240" w:h="15840"/>
          <w:pgMar w:top="2592" w:right="1440" w:bottom="1440" w:left="2016" w:header="720" w:footer="720" w:gutter="0"/>
          <w:cols w:space="720"/>
          <w:formProt w:val="0"/>
          <w:titlePg/>
          <w:docGrid w:linePitch="360"/>
        </w:sectPr>
      </w:pPr>
      <w:r w:rsidRPr="008C6702">
        <w:rPr>
          <w:rFonts w:ascii="Museo 300" w:hAnsi="Museo 300"/>
          <w:b/>
          <w:noProof/>
          <w:u w:val="single"/>
        </w:rPr>
        <w:t xml:space="preserve"> </w:t>
      </w:r>
    </w:p>
    <w:p w14:paraId="6640E5F0" w14:textId="77777777" w:rsidR="00B82515" w:rsidRPr="00B82515" w:rsidRDefault="00B82515" w:rsidP="00A46A12">
      <w:pPr>
        <w:rPr>
          <w:rFonts w:ascii="Georgia" w:hAnsi="Georgia"/>
          <w:sz w:val="22"/>
          <w:szCs w:val="22"/>
        </w:rPr>
      </w:pPr>
    </w:p>
    <w:p w14:paraId="62C221A5" w14:textId="77777777" w:rsidR="00B82515" w:rsidRPr="00B82515" w:rsidRDefault="00B82515" w:rsidP="00A46A12">
      <w:pPr>
        <w:rPr>
          <w:rFonts w:ascii="Georgia" w:hAnsi="Georgia"/>
          <w:sz w:val="22"/>
          <w:szCs w:val="22"/>
        </w:rPr>
      </w:pPr>
    </w:p>
    <w:p w14:paraId="4C91A1A4" w14:textId="77777777" w:rsidR="00B82515" w:rsidRPr="00B6710B" w:rsidRDefault="00B82515" w:rsidP="00A46A12"/>
    <w:p w14:paraId="09F2DD3C" w14:textId="77777777" w:rsidR="00B82515" w:rsidRDefault="00B82515" w:rsidP="00A46A12"/>
    <w:p w14:paraId="19205E15" w14:textId="4B0B52CD" w:rsidR="00144FD6" w:rsidRPr="00144FD6" w:rsidRDefault="00144FD6" w:rsidP="00A46A12">
      <w:pPr>
        <w:pStyle w:val="NormalWeb"/>
        <w:spacing w:before="0" w:beforeAutospacing="0" w:line="360" w:lineRule="auto"/>
        <w:rPr>
          <w:rFonts w:ascii="Neutraface Text Book" w:hAnsi="Neutraface Text Book"/>
          <w:i/>
          <w:color w:val="595959" w:themeColor="text1" w:themeTint="A6"/>
          <w:sz w:val="20"/>
          <w:szCs w:val="20"/>
        </w:rPr>
      </w:pPr>
    </w:p>
    <w:sectPr w:rsidR="00144FD6" w:rsidRPr="00144FD6" w:rsidSect="00B82515">
      <w:headerReference w:type="default" r:id="rId15"/>
      <w:footerReference w:type="default" r:id="rId1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FB81E2" w14:textId="77777777" w:rsidR="00C258A3" w:rsidRDefault="00C258A3" w:rsidP="008A1DA3">
      <w:r>
        <w:separator/>
      </w:r>
    </w:p>
  </w:endnote>
  <w:endnote w:type="continuationSeparator" w:id="0">
    <w:p w14:paraId="603C4562" w14:textId="77777777" w:rsidR="00C258A3" w:rsidRDefault="00C258A3" w:rsidP="008A1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useo 300">
    <w:altName w:val="Calibri"/>
    <w:charset w:val="00"/>
    <w:family w:val="auto"/>
    <w:pitch w:val="variable"/>
    <w:sig w:usb0="A00000AF" w:usb1="4000004A" w:usb2="00000000" w:usb3="00000000" w:csb0="00000093" w:csb1="00000000"/>
  </w:font>
  <w:font w:name="Neutraface Text Book">
    <w:altName w:val="Lucida Sans Unicode"/>
    <w:charset w:val="00"/>
    <w:family w:val="auto"/>
    <w:pitch w:val="variable"/>
    <w:sig w:usb0="00000001" w:usb1="5000204A" w:usb2="00000000" w:usb3="00000000" w:csb0="0000009B" w:csb1="00000000"/>
  </w:font>
  <w:font w:name="Georgia">
    <w:panose1 w:val="020405020504050203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4A5626" w14:textId="77777777" w:rsidR="001B3F59" w:rsidRDefault="001B3F59" w:rsidP="001B3F59">
    <w:pPr>
      <w:tabs>
        <w:tab w:val="center" w:pos="4680"/>
        <w:tab w:val="right" w:pos="9360"/>
      </w:tabs>
      <w:rPr>
        <w:rFonts w:ascii="Verdana" w:eastAsia="Calibri" w:hAnsi="Verdana" w:cs="Times New Roman"/>
        <w:i/>
        <w:iCs/>
        <w:sz w:val="16"/>
        <w:szCs w:val="16"/>
      </w:rPr>
    </w:pPr>
    <w:r>
      <w:rPr>
        <w:rFonts w:ascii="Verdana" w:eastAsia="Calibri" w:hAnsi="Verdana" w:cs="Times New Roman"/>
        <w:i/>
        <w:iCs/>
        <w:sz w:val="16"/>
        <w:szCs w:val="16"/>
      </w:rPr>
      <w:t>These worksheets were created for participants of the 2020 Network Operations Learning Collaborative, which was funded by the U.S. Administration for Community Living, U.S. Department of Health and Human Services through a contract with the Lewin Group. Points of view or opinions do not, therefore, necessarily represent official Administration for Community Living policy.</w:t>
    </w:r>
  </w:p>
  <w:p w14:paraId="7872CBB1" w14:textId="77777777" w:rsidR="001B3F59" w:rsidRDefault="001B3F59" w:rsidP="00A46A12">
    <w:pPr>
      <w:tabs>
        <w:tab w:val="center" w:pos="4680"/>
        <w:tab w:val="right" w:pos="9360"/>
      </w:tabs>
      <w:rPr>
        <w:rFonts w:ascii="Verdana" w:eastAsia="Calibri" w:hAnsi="Verdana" w:cs="Times New Roman"/>
        <w:i/>
        <w:iCs/>
        <w:color w:val="221E1F"/>
        <w:sz w:val="16"/>
        <w:szCs w:val="16"/>
      </w:rPr>
    </w:pPr>
  </w:p>
  <w:p w14:paraId="5C734705" w14:textId="41807770" w:rsidR="002F3E5C" w:rsidRPr="00A46A12" w:rsidRDefault="00A46A12" w:rsidP="00A46A12">
    <w:pPr>
      <w:tabs>
        <w:tab w:val="center" w:pos="4680"/>
        <w:tab w:val="right" w:pos="9360"/>
      </w:tabs>
      <w:rPr>
        <w:sz w:val="20"/>
        <w:szCs w:val="20"/>
      </w:rPr>
    </w:pPr>
    <w:r w:rsidRPr="00A46A12">
      <w:rPr>
        <w:rFonts w:ascii="Verdana" w:eastAsia="Calibri" w:hAnsi="Verdana" w:cs="Times New Roman"/>
        <w:i/>
        <w:iCs/>
        <w:color w:val="221E1F"/>
        <w:sz w:val="16"/>
        <w:szCs w:val="16"/>
      </w:rPr>
      <w:t xml:space="preserve">This publication was produced by the Aging and Disability Business Institute. Led by the National Association of Area Agencies on Aging (n4a) in partnership with the most experienced and respected organizations in the Aging and Disability Networks, the mission of the Aging and Disability Business Institute is to build and strengthen partnerships between aging and disability community-based organizations and the health care system. Funded by The John A. Hartford Foundation, The SCAN Foundation and the Administration for Community Living, the Aging and Disability Business Institute provides community-based organizations with the tools and resources to successfully adapt to a changing health care environment, enhance their organizational capacity and capitalize on emerging opportunities to diversify funding. Learn more at </w:t>
    </w:r>
    <w:r w:rsidRPr="00A46A12">
      <w:rPr>
        <w:rFonts w:ascii="Verdana" w:eastAsia="Calibri" w:hAnsi="Verdana" w:cs="Calibri"/>
        <w:b/>
        <w:bCs/>
        <w:i/>
        <w:iCs/>
        <w:color w:val="005D97"/>
        <w:sz w:val="16"/>
        <w:szCs w:val="16"/>
      </w:rPr>
      <w:t>www.aginganddisabilitybusinessinstitute.org.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EE6CA6" w14:textId="32E0113B" w:rsidR="008A1DA3" w:rsidRDefault="008A1DA3">
    <w:pPr>
      <w:pStyle w:val="Footer"/>
    </w:pPr>
  </w:p>
  <w:p w14:paraId="2B32A92F" w14:textId="77777777" w:rsidR="002F3E5C" w:rsidRDefault="002F3E5C"/>
  <w:p w14:paraId="77E4EC52" w14:textId="77777777" w:rsidR="002F3E5C" w:rsidRDefault="002F3E5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58952826"/>
      <w:docPartObj>
        <w:docPartGallery w:val="Page Numbers (Bottom of Page)"/>
        <w:docPartUnique/>
      </w:docPartObj>
    </w:sdtPr>
    <w:sdtEndPr>
      <w:rPr>
        <w:noProof/>
      </w:rPr>
    </w:sdtEndPr>
    <w:sdtContent>
      <w:p w14:paraId="44C94401" w14:textId="77777777" w:rsidR="00B06028" w:rsidRDefault="00B06028">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7842AC1B" w14:textId="77777777" w:rsidR="00B06028" w:rsidRDefault="00B060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01E7FE" w14:textId="77777777" w:rsidR="00C258A3" w:rsidRDefault="00C258A3" w:rsidP="008A1DA3">
      <w:r>
        <w:separator/>
      </w:r>
    </w:p>
  </w:footnote>
  <w:footnote w:type="continuationSeparator" w:id="0">
    <w:p w14:paraId="534D6E20" w14:textId="77777777" w:rsidR="00C258A3" w:rsidRDefault="00C258A3" w:rsidP="008A1D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E932AA" w14:textId="77777777" w:rsidR="00B06028" w:rsidRDefault="009F4212">
    <w:pPr>
      <w:pStyle w:val="Header"/>
    </w:pPr>
    <w:r>
      <w:rPr>
        <w:noProof/>
      </w:rPr>
      <w:pict w14:anchorId="2E6F63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611.05pt;height:11in;z-index:-251654144;mso-wrap-edited:f;mso-position-horizontal:center;mso-position-horizontal-relative:margin;mso-position-vertical:center;mso-position-vertical-relative:margin" wrapcoords="-27 0 -27 21580 21600 21580 21600 0 -27 0">
          <v:imagedata r:id="rId1" o:title="BorderGraphic"/>
          <w10:wrap anchorx="margin" anchory="margin"/>
        </v:shape>
      </w:pict>
    </w:r>
  </w:p>
  <w:p w14:paraId="35884007" w14:textId="77777777" w:rsidR="002F3E5C" w:rsidRDefault="002F3E5C"/>
  <w:p w14:paraId="1AFFF7E7" w14:textId="77777777" w:rsidR="002F3E5C" w:rsidRDefault="002F3E5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D9ABEE" w14:textId="77777777" w:rsidR="00B06028" w:rsidRDefault="009F4212">
    <w:pPr>
      <w:pStyle w:val="Header"/>
    </w:pPr>
    <w:r>
      <w:rPr>
        <w:noProof/>
      </w:rPr>
      <w:pict w14:anchorId="02408B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2" type="#_x0000_t75" style="position:absolute;margin-left:-105.75pt;margin-top:-130.45pt;width:611.05pt;height:850.65pt;z-index:-251655168;mso-wrap-edited:f;mso-position-horizontal-relative:margin;mso-position-vertical-relative:margin" wrapcoords="-27 0 -27 21580 21600 21580 21600 0 -27 0">
          <v:imagedata r:id="rId1" o:title="BorderGraphic"/>
          <w10:wrap anchorx="margin" anchory="margin"/>
        </v:shape>
      </w:pict>
    </w:r>
  </w:p>
  <w:p w14:paraId="4CE0B6A6" w14:textId="77777777" w:rsidR="002F3E5C" w:rsidRDefault="002F3E5C"/>
  <w:p w14:paraId="71305D13" w14:textId="77777777" w:rsidR="002F3E5C" w:rsidRDefault="002F3E5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A2A01D" w14:textId="228459AC" w:rsidR="00B06028" w:rsidRDefault="00B06028">
    <w:pPr>
      <w:pStyle w:val="Header"/>
    </w:pPr>
    <w:r w:rsidRPr="008C6702">
      <w:rPr>
        <w:noProof/>
        <w:u w:val="single"/>
      </w:rPr>
      <w:drawing>
        <wp:anchor distT="0" distB="0" distL="114300" distR="114300" simplePos="0" relativeHeight="251665408" behindDoc="0" locked="0" layoutInCell="1" allowOverlap="1" wp14:anchorId="4A70F0E7" wp14:editId="5EDD6242">
          <wp:simplePos x="0" y="0"/>
          <wp:positionH relativeFrom="column">
            <wp:posOffset>1322070</wp:posOffset>
          </wp:positionH>
          <wp:positionV relativeFrom="paragraph">
            <wp:posOffset>-191770</wp:posOffset>
          </wp:positionV>
          <wp:extent cx="2966085" cy="10312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ging Disability Business Institute Logo_CMYK.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66085" cy="1031240"/>
                  </a:xfrm>
                  <a:prstGeom prst="rect">
                    <a:avLst/>
                  </a:prstGeom>
                </pic:spPr>
              </pic:pic>
            </a:graphicData>
          </a:graphic>
          <wp14:sizeRelH relativeFrom="page">
            <wp14:pctWidth>0</wp14:pctWidth>
          </wp14:sizeRelH>
          <wp14:sizeRelV relativeFrom="page">
            <wp14:pctHeight>0</wp14:pctHeight>
          </wp14:sizeRelV>
        </wp:anchor>
      </w:drawing>
    </w:r>
    <w:r w:rsidR="009F4212">
      <w:rPr>
        <w:noProof/>
      </w:rPr>
      <w:pict w14:anchorId="60B367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103.85pt;margin-top:-129.4pt;width:611.05pt;height:11in;z-index:-251653120;mso-wrap-edited:f;mso-position-horizontal-relative:margin;mso-position-vertical-relative:margin" wrapcoords="-27 0 -27 21580 21600 21580 21600 0 -27 0">
          <v:imagedata r:id="rId2" o:title="BorderGraphic"/>
          <w10:wrap anchorx="margin" anchory="margin"/>
        </v:shape>
      </w:pict>
    </w:r>
  </w:p>
  <w:p w14:paraId="51EB0E1C" w14:textId="77777777" w:rsidR="002F3E5C" w:rsidRDefault="002F3E5C"/>
  <w:p w14:paraId="733A979B" w14:textId="77777777" w:rsidR="002F3E5C" w:rsidRDefault="002F3E5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1DF34E" w14:textId="28D2532A" w:rsidR="00B06028" w:rsidRDefault="00B06028">
    <w:pPr>
      <w:pStyle w:val="Header"/>
    </w:pPr>
    <w:r>
      <w:rPr>
        <w:noProof/>
      </w:rPr>
      <w:t xml:space="preserve">                             </w:t>
    </w:r>
    <w:r w:rsidRPr="00D25CCB">
      <w:rPr>
        <w:rFonts w:ascii="Georgia" w:hAnsi="Georgia"/>
        <w:sz w:val="28"/>
        <w:szCs w:val="28"/>
      </w:rPr>
      <w:t xml:space="preserve"> The John A. Hartford Site Visit Attendees List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32644"/>
    <w:multiLevelType w:val="hybridMultilevel"/>
    <w:tmpl w:val="97180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8128A2"/>
    <w:multiLevelType w:val="hybridMultilevel"/>
    <w:tmpl w:val="1F14977E"/>
    <w:lvl w:ilvl="0" w:tplc="9A7AC60E">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880244"/>
    <w:multiLevelType w:val="hybridMultilevel"/>
    <w:tmpl w:val="55284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2FFF0650"/>
    <w:multiLevelType w:val="hybridMultilevel"/>
    <w:tmpl w:val="B02039A6"/>
    <w:lvl w:ilvl="0" w:tplc="9A7AC60E">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455067"/>
    <w:multiLevelType w:val="hybridMultilevel"/>
    <w:tmpl w:val="CC02F6D0"/>
    <w:lvl w:ilvl="0" w:tplc="9A7AC60E">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7F2514"/>
    <w:multiLevelType w:val="hybridMultilevel"/>
    <w:tmpl w:val="5E66C748"/>
    <w:lvl w:ilvl="0" w:tplc="9A7AC60E">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AA1172"/>
    <w:multiLevelType w:val="hybridMultilevel"/>
    <w:tmpl w:val="3970D644"/>
    <w:lvl w:ilvl="0" w:tplc="9A7AC60E">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6F7033"/>
    <w:multiLevelType w:val="hybridMultilevel"/>
    <w:tmpl w:val="9BACAB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6"/>
  </w:num>
  <w:num w:numId="5">
    <w:abstractNumId w:val="4"/>
  </w:num>
  <w:num w:numId="6">
    <w:abstractNumId w:val="7"/>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ocumentProtection w:edit="forms" w:enforcement="1" w:cryptProviderType="rsaAES" w:cryptAlgorithmClass="hash" w:cryptAlgorithmType="typeAny" w:cryptAlgorithmSid="14" w:cryptSpinCount="100000" w:hash="3omQYoyJyHnktKB2rv8aTlO17sejtB+tvohO9ibDRG+YyeLovgwlkVGhCqQ5jstKjGNQewUFVph/dThXfbevbw==" w:salt="n7PYJ1Jqc4SGe+6yLhL13g=="/>
  <w:defaultTabStop w:val="720"/>
  <w:drawingGridHorizontalSpacing w:val="120"/>
  <w:displayHorizontalDrawingGridEvery w:val="2"/>
  <w:displayVertic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DA3"/>
    <w:rsid w:val="00144FD6"/>
    <w:rsid w:val="001836F8"/>
    <w:rsid w:val="001B3F59"/>
    <w:rsid w:val="002343CB"/>
    <w:rsid w:val="002A3A43"/>
    <w:rsid w:val="002F3E5C"/>
    <w:rsid w:val="00330212"/>
    <w:rsid w:val="003A33B4"/>
    <w:rsid w:val="00412275"/>
    <w:rsid w:val="004137A1"/>
    <w:rsid w:val="00484338"/>
    <w:rsid w:val="004E3358"/>
    <w:rsid w:val="00605BCB"/>
    <w:rsid w:val="00634ADB"/>
    <w:rsid w:val="0067698D"/>
    <w:rsid w:val="00744DA4"/>
    <w:rsid w:val="007D5963"/>
    <w:rsid w:val="00842B13"/>
    <w:rsid w:val="008A1DA3"/>
    <w:rsid w:val="008C160F"/>
    <w:rsid w:val="008C6702"/>
    <w:rsid w:val="00906C32"/>
    <w:rsid w:val="009F4212"/>
    <w:rsid w:val="00A0467F"/>
    <w:rsid w:val="00A46A12"/>
    <w:rsid w:val="00A544B5"/>
    <w:rsid w:val="00A54B1D"/>
    <w:rsid w:val="00B06028"/>
    <w:rsid w:val="00B82515"/>
    <w:rsid w:val="00C258A3"/>
    <w:rsid w:val="00CD5B4F"/>
    <w:rsid w:val="00D85CF7"/>
    <w:rsid w:val="00DD1607"/>
    <w:rsid w:val="00DF2E07"/>
    <w:rsid w:val="00F528FA"/>
    <w:rsid w:val="00F900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31516334"/>
  <w14:defaultImageDpi w14:val="32767"/>
  <w15:docId w15:val="{9380111C-B821-4C61-9C85-D8F5E2861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DA3"/>
  </w:style>
  <w:style w:type="paragraph" w:styleId="Heading2">
    <w:name w:val="heading 2"/>
    <w:basedOn w:val="Normal"/>
    <w:next w:val="Normal"/>
    <w:link w:val="Heading2Char"/>
    <w:uiPriority w:val="9"/>
    <w:unhideWhenUsed/>
    <w:qFormat/>
    <w:rsid w:val="00A46A12"/>
    <w:pPr>
      <w:keepNext/>
      <w:keepLines/>
      <w:spacing w:before="40" w:line="259"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A1DA3"/>
    <w:pPr>
      <w:spacing w:before="100" w:beforeAutospacing="1" w:after="100" w:afterAutospacing="1"/>
    </w:pPr>
    <w:rPr>
      <w:rFonts w:ascii="Times New Roman" w:hAnsi="Times New Roman" w:cs="Times New Roman"/>
    </w:rPr>
  </w:style>
  <w:style w:type="paragraph" w:styleId="Header">
    <w:name w:val="header"/>
    <w:basedOn w:val="Normal"/>
    <w:link w:val="HeaderChar"/>
    <w:uiPriority w:val="99"/>
    <w:unhideWhenUsed/>
    <w:rsid w:val="008A1DA3"/>
    <w:pPr>
      <w:tabs>
        <w:tab w:val="center" w:pos="4680"/>
        <w:tab w:val="right" w:pos="9360"/>
      </w:tabs>
    </w:pPr>
  </w:style>
  <w:style w:type="character" w:customStyle="1" w:styleId="HeaderChar">
    <w:name w:val="Header Char"/>
    <w:basedOn w:val="DefaultParagraphFont"/>
    <w:link w:val="Header"/>
    <w:uiPriority w:val="99"/>
    <w:rsid w:val="008A1DA3"/>
  </w:style>
  <w:style w:type="paragraph" w:styleId="Footer">
    <w:name w:val="footer"/>
    <w:basedOn w:val="Normal"/>
    <w:link w:val="FooterChar"/>
    <w:uiPriority w:val="99"/>
    <w:unhideWhenUsed/>
    <w:rsid w:val="008A1DA3"/>
    <w:pPr>
      <w:tabs>
        <w:tab w:val="center" w:pos="4680"/>
        <w:tab w:val="right" w:pos="9360"/>
      </w:tabs>
    </w:pPr>
  </w:style>
  <w:style w:type="character" w:customStyle="1" w:styleId="FooterChar">
    <w:name w:val="Footer Char"/>
    <w:basedOn w:val="DefaultParagraphFont"/>
    <w:link w:val="Footer"/>
    <w:uiPriority w:val="99"/>
    <w:rsid w:val="008A1DA3"/>
  </w:style>
  <w:style w:type="paragraph" w:styleId="PlainText">
    <w:name w:val="Plain Text"/>
    <w:basedOn w:val="Normal"/>
    <w:link w:val="PlainTextChar"/>
    <w:uiPriority w:val="99"/>
    <w:unhideWhenUsed/>
    <w:rsid w:val="00B82515"/>
    <w:rPr>
      <w:rFonts w:ascii="Calibri" w:hAnsi="Calibri" w:cs="Consolas"/>
      <w:szCs w:val="21"/>
    </w:rPr>
  </w:style>
  <w:style w:type="character" w:customStyle="1" w:styleId="PlainTextChar">
    <w:name w:val="Plain Text Char"/>
    <w:basedOn w:val="DefaultParagraphFont"/>
    <w:link w:val="PlainText"/>
    <w:uiPriority w:val="99"/>
    <w:rsid w:val="00B82515"/>
    <w:rPr>
      <w:rFonts w:ascii="Calibri" w:hAnsi="Calibri" w:cs="Consolas"/>
      <w:szCs w:val="21"/>
    </w:rPr>
  </w:style>
  <w:style w:type="paragraph" w:styleId="BalloonText">
    <w:name w:val="Balloon Text"/>
    <w:basedOn w:val="Normal"/>
    <w:link w:val="BalloonTextChar"/>
    <w:uiPriority w:val="99"/>
    <w:semiHidden/>
    <w:unhideWhenUsed/>
    <w:rsid w:val="00B82515"/>
    <w:rPr>
      <w:rFonts w:ascii="Tahoma" w:hAnsi="Tahoma" w:cs="Tahoma"/>
      <w:sz w:val="16"/>
      <w:szCs w:val="16"/>
    </w:rPr>
  </w:style>
  <w:style w:type="character" w:customStyle="1" w:styleId="BalloonTextChar">
    <w:name w:val="Balloon Text Char"/>
    <w:basedOn w:val="DefaultParagraphFont"/>
    <w:link w:val="BalloonText"/>
    <w:uiPriority w:val="99"/>
    <w:semiHidden/>
    <w:rsid w:val="00B82515"/>
    <w:rPr>
      <w:rFonts w:ascii="Tahoma" w:hAnsi="Tahoma" w:cs="Tahoma"/>
      <w:sz w:val="16"/>
      <w:szCs w:val="16"/>
    </w:rPr>
  </w:style>
  <w:style w:type="paragraph" w:styleId="ListParagraph">
    <w:name w:val="List Paragraph"/>
    <w:basedOn w:val="Normal"/>
    <w:uiPriority w:val="34"/>
    <w:qFormat/>
    <w:rsid w:val="00484338"/>
    <w:pPr>
      <w:ind w:left="720"/>
      <w:contextualSpacing/>
    </w:pPr>
    <w:rPr>
      <w:sz w:val="22"/>
      <w:szCs w:val="22"/>
    </w:rPr>
  </w:style>
  <w:style w:type="character" w:customStyle="1" w:styleId="Heading2Char">
    <w:name w:val="Heading 2 Char"/>
    <w:basedOn w:val="DefaultParagraphFont"/>
    <w:link w:val="Heading2"/>
    <w:uiPriority w:val="9"/>
    <w:rsid w:val="00A46A12"/>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A46A1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1966726">
      <w:bodyDiv w:val="1"/>
      <w:marLeft w:val="0"/>
      <w:marRight w:val="0"/>
      <w:marTop w:val="0"/>
      <w:marBottom w:val="0"/>
      <w:divBdr>
        <w:top w:val="none" w:sz="0" w:space="0" w:color="auto"/>
        <w:left w:val="none" w:sz="0" w:space="0" w:color="auto"/>
        <w:bottom w:val="none" w:sz="0" w:space="0" w:color="auto"/>
        <w:right w:val="none" w:sz="0" w:space="0" w:color="auto"/>
      </w:divBdr>
    </w:div>
    <w:div w:id="17678494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aginganddisabilitybusinessinstitute.org/adbi-resource/hipaa-hitech-compliance-for-cbo-healthcare-partnership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aginganddisabilitybusinessinstitute.org/resources/health-information-technology-gri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29EDA-10B6-42CA-8037-C5191E484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451</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Rory Daly</cp:lastModifiedBy>
  <cp:revision>5</cp:revision>
  <cp:lastPrinted>2017-04-17T17:32:00Z</cp:lastPrinted>
  <dcterms:created xsi:type="dcterms:W3CDTF">2021-03-03T16:38:00Z</dcterms:created>
  <dcterms:modified xsi:type="dcterms:W3CDTF">2021-03-04T17:44:00Z</dcterms:modified>
</cp:coreProperties>
</file>